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652" w:rsidRDefault="00927D75" w:rsidP="00927D75">
      <w:pPr>
        <w:pStyle w:val="Heading3"/>
      </w:pPr>
      <w:r>
        <w:t>Appeals Committee Chair Report</w:t>
      </w:r>
    </w:p>
    <w:p w:rsidR="00927D75" w:rsidRDefault="00927D75" w:rsidP="00927D75">
      <w:pPr>
        <w:jc w:val="center"/>
      </w:pPr>
      <w:r>
        <w:t>Adrienne Brovero</w:t>
      </w:r>
    </w:p>
    <w:p w:rsidR="00927D75" w:rsidRDefault="00927D75" w:rsidP="00927D75">
      <w:pPr>
        <w:jc w:val="center"/>
      </w:pPr>
      <w:r>
        <w:t>University of Mary Washington</w:t>
      </w:r>
    </w:p>
    <w:p w:rsidR="00927D75" w:rsidRDefault="0022698A" w:rsidP="00927D75">
      <w:pPr>
        <w:jc w:val="center"/>
      </w:pPr>
      <w:r>
        <w:t>4-2</w:t>
      </w:r>
      <w:r w:rsidR="00927D75">
        <w:t>-15</w:t>
      </w:r>
    </w:p>
    <w:p w:rsidR="00927D75" w:rsidRDefault="00927D75" w:rsidP="002E3F0F"/>
    <w:p w:rsidR="0022698A" w:rsidRDefault="0022698A" w:rsidP="0022698A">
      <w:pPr>
        <w:pStyle w:val="Heading4"/>
      </w:pPr>
      <w:r>
        <w:t xml:space="preserve">Appeal # </w:t>
      </w:r>
      <w:r>
        <w:t>1</w:t>
      </w:r>
      <w:r>
        <w:t xml:space="preserve"> – 6</w:t>
      </w:r>
      <w:r w:rsidRPr="00885A07">
        <w:rPr>
          <w:vertAlign w:val="superscript"/>
        </w:rPr>
        <w:t>th</w:t>
      </w:r>
      <w:r>
        <w:t xml:space="preserve"> year eligibility in 2016</w:t>
      </w:r>
    </w:p>
    <w:p w:rsidR="0022698A" w:rsidRDefault="0022698A" w:rsidP="0022698A">
      <w:r>
        <w:t xml:space="preserve">A student recently realized that 3 </w:t>
      </w:r>
      <w:proofErr w:type="spellStart"/>
      <w:r>
        <w:t>parli</w:t>
      </w:r>
      <w:proofErr w:type="spellEnd"/>
      <w:r>
        <w:t xml:space="preserve"> tournaments competed in 5 years ago count against the 5 academic years of eligibility clock. The student is in their 4</w:t>
      </w:r>
      <w:r w:rsidRPr="00885A07">
        <w:rPr>
          <w:vertAlign w:val="superscript"/>
        </w:rPr>
        <w:t>th</w:t>
      </w:r>
      <w:r>
        <w:t xml:space="preserve"> year of policy debate competition. The coach appealed to the Committee to rule the student eligible for the 2016 NDT now, so that the school could make travel decisions for this semester that hinge</w:t>
      </w:r>
      <w:r w:rsidR="00767340">
        <w:t xml:space="preserve">d </w:t>
      </w:r>
      <w:bookmarkStart w:id="0" w:name="_GoBack"/>
      <w:bookmarkEnd w:id="0"/>
      <w:r>
        <w:t>on whether or not the student will be eligible next year.</w:t>
      </w:r>
    </w:p>
    <w:p w:rsidR="0022698A" w:rsidRDefault="0022698A" w:rsidP="0022698A">
      <w:r>
        <w:t>Disposition: The committee unanimously voted against the appeal on the grounds that the NDT rule is an extension of the AFA rule, and that the Committee does not have the jurisdiction to alter the prevailing AFA rule.</w:t>
      </w:r>
    </w:p>
    <w:p w:rsidR="0022698A" w:rsidRDefault="0022698A" w:rsidP="0022698A"/>
    <w:p w:rsidR="0022698A" w:rsidRDefault="0022698A" w:rsidP="0022698A">
      <w:pPr>
        <w:pStyle w:val="Heading4"/>
      </w:pPr>
      <w:r>
        <w:t>Appeal # 2</w:t>
      </w:r>
      <w:r>
        <w:t xml:space="preserve"> – 32 preliminary round requirement for bid allocation eligibility</w:t>
      </w:r>
    </w:p>
    <w:p w:rsidR="0022698A" w:rsidRDefault="0022698A" w:rsidP="0022698A">
      <w:r>
        <w:t>A</w:t>
      </w:r>
      <w:r>
        <w:t xml:space="preserve"> team appealed to the Committee asking the committee rule them eligible to count for bid allocation. They had 30 prelims (and had assumed their 4 elim</w:t>
      </w:r>
      <w:r>
        <w:t>ination rounds</w:t>
      </w:r>
      <w:r>
        <w:t xml:space="preserve"> counted toward the 32). Because they were not eligible to count for bid allocation, their district prohibited them from entering the district tournament. </w:t>
      </w:r>
    </w:p>
    <w:p w:rsidR="0022698A" w:rsidRDefault="0022698A" w:rsidP="0022698A"/>
    <w:p w:rsidR="0022698A" w:rsidRPr="00435396" w:rsidRDefault="0022698A" w:rsidP="0022698A">
      <w:r>
        <w:t>Disposition: The committee voted 4-1 against the appeal. The committee expressed concerns about setting a potential precedent, having to re-open the bid allocation process because others might have been close, and that the Appeals Committee was being asked to re-write a rule outside the scope of the normal process. Additionally, the school had other options for solutions, including re-pairing with an eligible debater, and appealing to the district to let them debate.</w:t>
      </w:r>
    </w:p>
    <w:p w:rsidR="00927D75" w:rsidRDefault="00927D75" w:rsidP="00927D75"/>
    <w:p w:rsidR="0022698A" w:rsidRDefault="0022698A" w:rsidP="0022698A">
      <w:pPr>
        <w:pStyle w:val="Heading4"/>
      </w:pPr>
      <w:r>
        <w:t>Appeal # 3</w:t>
      </w:r>
      <w:r>
        <w:t xml:space="preserve"> – </w:t>
      </w:r>
      <w:r>
        <w:t xml:space="preserve">50% win-loss record </w:t>
      </w:r>
      <w:r>
        <w:t xml:space="preserve">requirement for </w:t>
      </w:r>
      <w:r>
        <w:t xml:space="preserve">second round </w:t>
      </w:r>
      <w:r>
        <w:t>eligibility</w:t>
      </w:r>
    </w:p>
    <w:p w:rsidR="0022698A" w:rsidRDefault="0022698A" w:rsidP="0022698A">
      <w:r>
        <w:t xml:space="preserve">A team appealed to the Committee </w:t>
      </w:r>
      <w:r w:rsidR="00990240">
        <w:t xml:space="preserve">prior to the second round application deadline requesting they be ruled eligible despite not meeting the 50% win-loss requirement. The team had to withdraw early due to illness from a late in the season tournament, putting their record below 50%. </w:t>
      </w:r>
    </w:p>
    <w:p w:rsidR="0022698A" w:rsidRDefault="0022698A" w:rsidP="0022698A"/>
    <w:p w:rsidR="00151433" w:rsidRDefault="0022698A" w:rsidP="0022698A">
      <w:r>
        <w:t xml:space="preserve">Disposition: The committee voted </w:t>
      </w:r>
      <w:r w:rsidR="00990240">
        <w:t xml:space="preserve">3-2 </w:t>
      </w:r>
      <w:r>
        <w:t xml:space="preserve">against the appeal. The </w:t>
      </w:r>
      <w:r w:rsidR="00151433">
        <w:t xml:space="preserve">majority of </w:t>
      </w:r>
      <w:r>
        <w:t>committee expressed concerns abo</w:t>
      </w:r>
      <w:r w:rsidR="00151433">
        <w:t xml:space="preserve">ut </w:t>
      </w:r>
      <w:r w:rsidR="006B5247">
        <w:t>an inability to narrowly construe an exemption</w:t>
      </w:r>
      <w:r w:rsidR="00A505EB">
        <w:t xml:space="preserve"> based on the current rule</w:t>
      </w:r>
      <w:r w:rsidR="006B5247">
        <w:t xml:space="preserve">. </w:t>
      </w:r>
      <w:r w:rsidR="00A505EB">
        <w:t>There was support among members of the committee to revise the rule in order to permit narrowly construed exemptions.</w:t>
      </w:r>
    </w:p>
    <w:p w:rsidR="0022698A" w:rsidRDefault="0022698A" w:rsidP="00927D75"/>
    <w:p w:rsidR="0022698A" w:rsidRDefault="0022698A" w:rsidP="0022698A">
      <w:pPr>
        <w:pStyle w:val="Heading4"/>
      </w:pPr>
      <w:r>
        <w:t xml:space="preserve">Appeal # </w:t>
      </w:r>
      <w:r w:rsidR="00990240">
        <w:t>4</w:t>
      </w:r>
      <w:r>
        <w:t xml:space="preserve"> – </w:t>
      </w:r>
      <w:r>
        <w:t>12 round</w:t>
      </w:r>
      <w:r>
        <w:t xml:space="preserve"> requirement for </w:t>
      </w:r>
      <w:r>
        <w:t>judge</w:t>
      </w:r>
      <w:r>
        <w:t xml:space="preserve"> eligibility</w:t>
      </w:r>
      <w:r>
        <w:t xml:space="preserve"> to count toward commitment</w:t>
      </w:r>
    </w:p>
    <w:p w:rsidR="0022698A" w:rsidRDefault="0022698A" w:rsidP="0022698A">
      <w:r>
        <w:t xml:space="preserve">A judge who did not meet the 12 round requirement appealed for a waiver to be allowed to count toward the school’s commitment. The person </w:t>
      </w:r>
      <w:r w:rsidR="00767340">
        <w:t xml:space="preserve">argued </w:t>
      </w:r>
      <w:r>
        <w:t xml:space="preserve">they had unique </w:t>
      </w:r>
      <w:r w:rsidR="005C337C">
        <w:t>qualifications that justified a waiver.</w:t>
      </w:r>
    </w:p>
    <w:p w:rsidR="0022698A" w:rsidRDefault="0022698A" w:rsidP="0022698A"/>
    <w:p w:rsidR="0022698A" w:rsidRPr="00435396" w:rsidRDefault="0022698A" w:rsidP="0022698A">
      <w:r>
        <w:t xml:space="preserve">Disposition: The committee voted </w:t>
      </w:r>
      <w:r w:rsidR="005C337C">
        <w:t>5-0 against issuing a waiver</w:t>
      </w:r>
      <w:r>
        <w:t xml:space="preserve">. </w:t>
      </w:r>
      <w:r w:rsidR="005C337C">
        <w:t>Arguments made in the committee discussion included extensive past precedent against issuing waivers, as wel</w:t>
      </w:r>
      <w:r w:rsidR="00990240">
        <w:t xml:space="preserve">l as the </w:t>
      </w:r>
      <w:r w:rsidR="00767340">
        <w:t xml:space="preserve">effectiveness of the </w:t>
      </w:r>
      <w:r w:rsidR="00990240">
        <w:t xml:space="preserve">round requirement </w:t>
      </w:r>
      <w:r w:rsidR="00767340">
        <w:t xml:space="preserve">in that it had historically made it more likely that </w:t>
      </w:r>
      <w:r w:rsidR="00990240">
        <w:t>judges judged more during the year in order to meet the requirement.</w:t>
      </w:r>
    </w:p>
    <w:p w:rsidR="0022698A" w:rsidRPr="00927D75" w:rsidRDefault="0022698A" w:rsidP="00927D75"/>
    <w:sectPr w:rsidR="0022698A" w:rsidRPr="00927D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927D75"/>
    <w:rsid w:val="000139A3"/>
    <w:rsid w:val="00100833"/>
    <w:rsid w:val="00104529"/>
    <w:rsid w:val="00105942"/>
    <w:rsid w:val="00107396"/>
    <w:rsid w:val="00144A4C"/>
    <w:rsid w:val="00151433"/>
    <w:rsid w:val="001670E7"/>
    <w:rsid w:val="00176AB0"/>
    <w:rsid w:val="00177B7D"/>
    <w:rsid w:val="0018322D"/>
    <w:rsid w:val="001B5776"/>
    <w:rsid w:val="001E527A"/>
    <w:rsid w:val="001F78CE"/>
    <w:rsid w:val="0022698A"/>
    <w:rsid w:val="00251FC7"/>
    <w:rsid w:val="002855A7"/>
    <w:rsid w:val="002B146A"/>
    <w:rsid w:val="002B5E17"/>
    <w:rsid w:val="002E3F0F"/>
    <w:rsid w:val="00315690"/>
    <w:rsid w:val="00316B75"/>
    <w:rsid w:val="00325646"/>
    <w:rsid w:val="003460F2"/>
    <w:rsid w:val="0038158C"/>
    <w:rsid w:val="003902BA"/>
    <w:rsid w:val="003A09E2"/>
    <w:rsid w:val="00407037"/>
    <w:rsid w:val="004605D6"/>
    <w:rsid w:val="004C60E8"/>
    <w:rsid w:val="004E3579"/>
    <w:rsid w:val="004E728B"/>
    <w:rsid w:val="004F39E0"/>
    <w:rsid w:val="00532D0A"/>
    <w:rsid w:val="00537BD5"/>
    <w:rsid w:val="005504EB"/>
    <w:rsid w:val="0057268A"/>
    <w:rsid w:val="005C337C"/>
    <w:rsid w:val="005D2912"/>
    <w:rsid w:val="005D66A2"/>
    <w:rsid w:val="006065BD"/>
    <w:rsid w:val="00645FA9"/>
    <w:rsid w:val="00647866"/>
    <w:rsid w:val="00665003"/>
    <w:rsid w:val="006A2AD0"/>
    <w:rsid w:val="006B5247"/>
    <w:rsid w:val="006C2375"/>
    <w:rsid w:val="006D4ECC"/>
    <w:rsid w:val="00722258"/>
    <w:rsid w:val="007243E5"/>
    <w:rsid w:val="007361C1"/>
    <w:rsid w:val="00766EA0"/>
    <w:rsid w:val="00767340"/>
    <w:rsid w:val="007A2226"/>
    <w:rsid w:val="007F5B66"/>
    <w:rsid w:val="00823A1C"/>
    <w:rsid w:val="00845B9D"/>
    <w:rsid w:val="00860984"/>
    <w:rsid w:val="008B3ECB"/>
    <w:rsid w:val="008B4E85"/>
    <w:rsid w:val="008C1B2E"/>
    <w:rsid w:val="008D159A"/>
    <w:rsid w:val="0091627E"/>
    <w:rsid w:val="00927D75"/>
    <w:rsid w:val="0097032B"/>
    <w:rsid w:val="00990240"/>
    <w:rsid w:val="009D2EAD"/>
    <w:rsid w:val="009D54B2"/>
    <w:rsid w:val="009E1922"/>
    <w:rsid w:val="009F7ED2"/>
    <w:rsid w:val="00A505EB"/>
    <w:rsid w:val="00A93661"/>
    <w:rsid w:val="00A95652"/>
    <w:rsid w:val="00AC0AB8"/>
    <w:rsid w:val="00AD1440"/>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223D4"/>
    <w:rsid w:val="00E5262C"/>
    <w:rsid w:val="00EC7DC4"/>
    <w:rsid w:val="00ED30CF"/>
    <w:rsid w:val="00F132FA"/>
    <w:rsid w:val="00F176EF"/>
    <w:rsid w:val="00F26B7B"/>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53EC5-1D53-48D7-9B9D-73415A61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22698A"/>
    <w:rPr>
      <w:rFonts w:ascii="Times New Roman" w:hAnsi="Times New Roman" w:cs="Times New Roman"/>
      <w:sz w:val="24"/>
    </w:rPr>
  </w:style>
  <w:style w:type="paragraph" w:styleId="Heading1">
    <w:name w:val="heading 1"/>
    <w:aliases w:val="Pocket"/>
    <w:basedOn w:val="Normal"/>
    <w:next w:val="Normal"/>
    <w:link w:val="Heading1Char"/>
    <w:qFormat/>
    <w:rsid w:val="0022698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22698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22698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22698A"/>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2269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2698A"/>
  </w:style>
  <w:style w:type="character" w:customStyle="1" w:styleId="Heading1Char">
    <w:name w:val="Heading 1 Char"/>
    <w:aliases w:val="Pocket Char"/>
    <w:basedOn w:val="DefaultParagraphFont"/>
    <w:link w:val="Heading1"/>
    <w:rsid w:val="0022698A"/>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22698A"/>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22698A"/>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22698A"/>
    <w:rPr>
      <w:rFonts w:ascii="Times New Roman" w:eastAsiaTheme="majorEastAsia" w:hAnsi="Times New Roman" w:cstheme="majorBidi"/>
      <w:b/>
      <w:iCs/>
      <w:sz w:val="26"/>
    </w:rPr>
  </w:style>
  <w:style w:type="character" w:styleId="Emphasis">
    <w:name w:val="Emphasis"/>
    <w:basedOn w:val="DefaultParagraphFont"/>
    <w:uiPriority w:val="7"/>
    <w:qFormat/>
    <w:rsid w:val="0022698A"/>
    <w:rPr>
      <w:rFonts w:ascii="Times New Roman" w:hAnsi="Times New Roman" w:cs="Times New Roman"/>
      <w:b/>
      <w:i w:val="0"/>
      <w:iCs/>
      <w:sz w:val="24"/>
      <w:u w:val="single"/>
      <w:bdr w:val="single" w:sz="12" w:space="0" w:color="auto"/>
    </w:rPr>
  </w:style>
  <w:style w:type="character" w:customStyle="1" w:styleId="Style13ptBold">
    <w:name w:val="Style 13 pt Bold"/>
    <w:aliases w:val="Cite"/>
    <w:basedOn w:val="DefaultParagraphFont"/>
    <w:uiPriority w:val="5"/>
    <w:qFormat/>
    <w:rsid w:val="0022698A"/>
    <w:rPr>
      <w:b/>
      <w:bCs/>
      <w:sz w:val="26"/>
      <w:u w:val="none"/>
    </w:rPr>
  </w:style>
  <w:style w:type="character" w:customStyle="1" w:styleId="StyleUnderline">
    <w:name w:val="Style Underline"/>
    <w:aliases w:val="Underline"/>
    <w:basedOn w:val="DefaultParagraphFont"/>
    <w:uiPriority w:val="6"/>
    <w:qFormat/>
    <w:rsid w:val="0022698A"/>
    <w:rPr>
      <w:b/>
      <w:sz w:val="24"/>
      <w:u w:val="single"/>
    </w:rPr>
  </w:style>
  <w:style w:type="character" w:styleId="Hyperlink">
    <w:name w:val="Hyperlink"/>
    <w:basedOn w:val="DefaultParagraphFont"/>
    <w:uiPriority w:val="99"/>
    <w:semiHidden/>
    <w:unhideWhenUsed/>
    <w:rsid w:val="0022698A"/>
    <w:rPr>
      <w:color w:val="auto"/>
      <w:u w:val="none"/>
    </w:rPr>
  </w:style>
  <w:style w:type="character" w:styleId="FollowedHyperlink">
    <w:name w:val="FollowedHyperlink"/>
    <w:basedOn w:val="DefaultParagraphFont"/>
    <w:uiPriority w:val="99"/>
    <w:semiHidden/>
    <w:unhideWhenUsed/>
    <w:rsid w:val="0022698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D34D5-5754-4257-BC2F-BC5E80709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253</TotalTime>
  <Pages>1</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2</cp:revision>
  <dcterms:created xsi:type="dcterms:W3CDTF">2015-02-04T19:00:00Z</dcterms:created>
  <dcterms:modified xsi:type="dcterms:W3CDTF">2015-03-31T20:27:00Z</dcterms:modified>
</cp:coreProperties>
</file>