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652" w:rsidRDefault="005B1111" w:rsidP="002C6544">
      <w:pPr>
        <w:pStyle w:val="Heading1"/>
      </w:pPr>
      <w:r>
        <w:t>Bid Allocation Committee Report</w:t>
      </w:r>
    </w:p>
    <w:p w:rsidR="0023148A" w:rsidRDefault="005B1111" w:rsidP="002C6544">
      <w:pPr>
        <w:jc w:val="center"/>
      </w:pPr>
      <w:r>
        <w:t>Matt Vega</w:t>
      </w:r>
    </w:p>
    <w:p w:rsidR="005B1111" w:rsidRDefault="005B1111" w:rsidP="00946D3C">
      <w:pPr>
        <w:pStyle w:val="Heading3"/>
      </w:pPr>
      <w:r>
        <w:lastRenderedPageBreak/>
        <w:t>Final Bid Allocation Numbers</w:t>
      </w:r>
    </w:p>
    <w:p w:rsidR="005B1111" w:rsidRDefault="005B1111" w:rsidP="005B1111"/>
    <w:tbl>
      <w:tblPr>
        <w:tblW w:w="9737" w:type="dxa"/>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780"/>
        <w:gridCol w:w="96"/>
        <w:gridCol w:w="769"/>
        <w:gridCol w:w="1057"/>
        <w:gridCol w:w="1057"/>
        <w:gridCol w:w="690"/>
        <w:gridCol w:w="702"/>
        <w:gridCol w:w="580"/>
        <w:gridCol w:w="724"/>
        <w:gridCol w:w="207"/>
        <w:gridCol w:w="413"/>
        <w:gridCol w:w="763"/>
        <w:gridCol w:w="1102"/>
        <w:gridCol w:w="96"/>
        <w:gridCol w:w="1247"/>
      </w:tblGrid>
      <w:tr w:rsidR="005B1111" w:rsidRPr="005B1111" w:rsidTr="005B1111">
        <w:trPr>
          <w:trHeight w:val="360"/>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District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Entries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Allocation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Allocation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Whole Bids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Partial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proofErr w:type="spellStart"/>
            <w:r w:rsidRPr="005B1111">
              <w:rPr>
                <w:rFonts w:ascii="Arial" w:eastAsia="Times New Roman" w:hAnsi="Arial" w:cs="Arial"/>
                <w:b/>
                <w:bCs/>
                <w:sz w:val="20"/>
                <w:szCs w:val="20"/>
              </w:rPr>
              <w:t>Prtl</w:t>
            </w:r>
            <w:proofErr w:type="spellEnd"/>
            <w:r w:rsidRPr="005B1111">
              <w:rPr>
                <w:rFonts w:ascii="Arial" w:eastAsia="Times New Roman" w:hAnsi="Arial" w:cs="Arial"/>
                <w:b/>
                <w:bCs/>
                <w:sz w:val="20"/>
                <w:szCs w:val="20"/>
              </w:rPr>
              <w:t xml:space="preserve"> Rank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Part Bid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Bid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Tiebreaker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Total Subscribers</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rPr>
            </w:pPr>
            <w:r w:rsidRPr="005B1111">
              <w:rPr>
                <w:rFonts w:ascii="Arial" w:eastAsia="Times New Roman" w:hAnsi="Arial" w:cs="Arial"/>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Arial" w:eastAsia="Times New Roman" w:hAnsi="Arial" w:cs="Arial"/>
                <w:sz w:val="20"/>
                <w:szCs w:val="20"/>
              </w:rPr>
            </w:pPr>
            <w:r w:rsidRPr="005B1111">
              <w:rPr>
                <w:rFonts w:ascii="Arial" w:eastAsia="Times New Roman" w:hAnsi="Arial" w:cs="Arial"/>
                <w:sz w:val="20"/>
                <w:szCs w:val="20"/>
              </w:rPr>
              <w:t>TRUE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4"/>
                <w:szCs w:val="24"/>
              </w:rPr>
            </w:pPr>
            <w:r w:rsidRPr="005B1111">
              <w:rPr>
                <w:rFonts w:ascii="Arial" w:eastAsia="Times New Roman" w:hAnsi="Arial" w:cs="Arial"/>
                <w:b/>
                <w:bCs/>
                <w:sz w:val="24"/>
                <w:szCs w:val="24"/>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10</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rPr>
            </w:pPr>
            <w:r w:rsidRPr="005B1111">
              <w:rPr>
                <w:rFonts w:ascii="Arial" w:eastAsia="Times New Roman" w:hAnsi="Arial" w:cs="Arial"/>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7.78%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3.5778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0.5778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Arial" w:eastAsia="Times New Roman" w:hAnsi="Arial" w:cs="Arial"/>
                <w:sz w:val="20"/>
                <w:szCs w:val="20"/>
              </w:rPr>
            </w:pPr>
            <w:r w:rsidRPr="005B1111">
              <w:rPr>
                <w:rFonts w:ascii="Arial" w:eastAsia="Times New Roman" w:hAnsi="Arial" w:cs="Arial"/>
                <w:sz w:val="20"/>
                <w:szCs w:val="20"/>
              </w:rPr>
              <w:t>FALSE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4"/>
                <w:szCs w:val="24"/>
              </w:rPr>
            </w:pPr>
            <w:r w:rsidRPr="005B1111">
              <w:rPr>
                <w:rFonts w:ascii="Arial" w:eastAsia="Times New Roman" w:hAnsi="Arial" w:cs="Arial"/>
                <w:b/>
                <w:bCs/>
                <w:sz w:val="24"/>
                <w:szCs w:val="24"/>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Inconsolata" w:eastAsia="Times New Roman" w:hAnsi="Inconsolata" w:cs="Arial"/>
                <w:color w:val="000000"/>
              </w:rPr>
            </w:pPr>
            <w:r w:rsidRPr="005B1111">
              <w:rPr>
                <w:rFonts w:ascii="Inconsolata" w:eastAsia="Times New Roman" w:hAnsi="Inconsolata" w:cs="Arial"/>
                <w:color w:val="000000"/>
              </w:rPr>
              <w:t>5</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rPr>
            </w:pPr>
            <w:r w:rsidRPr="005B1111">
              <w:rPr>
                <w:rFonts w:ascii="Arial" w:eastAsia="Times New Roman" w:hAnsi="Arial" w:cs="Arial"/>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32.22%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14.8222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0.8222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Arial" w:eastAsia="Times New Roman" w:hAnsi="Arial" w:cs="Arial"/>
                <w:sz w:val="20"/>
                <w:szCs w:val="20"/>
              </w:rPr>
            </w:pPr>
            <w:r w:rsidRPr="005B1111">
              <w:rPr>
                <w:rFonts w:ascii="Arial" w:eastAsia="Times New Roman" w:hAnsi="Arial" w:cs="Arial"/>
                <w:sz w:val="20"/>
                <w:szCs w:val="20"/>
              </w:rPr>
              <w:t>TRUE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4"/>
                <w:szCs w:val="24"/>
              </w:rPr>
            </w:pPr>
            <w:r w:rsidRPr="005B1111">
              <w:rPr>
                <w:rFonts w:ascii="Arial" w:eastAsia="Times New Roman" w:hAnsi="Arial" w:cs="Arial"/>
                <w:b/>
                <w:bCs/>
                <w:sz w:val="24"/>
                <w:szCs w:val="24"/>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Inconsolata" w:eastAsia="Times New Roman" w:hAnsi="Inconsolata" w:cs="Arial"/>
                <w:color w:val="000000"/>
              </w:rPr>
            </w:pPr>
            <w:r w:rsidRPr="005B1111">
              <w:rPr>
                <w:rFonts w:ascii="Inconsolata" w:eastAsia="Times New Roman" w:hAnsi="Inconsolata" w:cs="Arial"/>
                <w:color w:val="000000"/>
              </w:rPr>
              <w:t>18</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8.89%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4.0889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0.0889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Arial" w:eastAsia="Times New Roman" w:hAnsi="Arial" w:cs="Arial"/>
                <w:sz w:val="20"/>
                <w:szCs w:val="20"/>
              </w:rPr>
            </w:pPr>
            <w:r w:rsidRPr="005B1111">
              <w:rPr>
                <w:rFonts w:ascii="Arial" w:eastAsia="Times New Roman" w:hAnsi="Arial" w:cs="Arial"/>
                <w:sz w:val="20"/>
                <w:szCs w:val="20"/>
              </w:rPr>
              <w:t>FALSE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4"/>
                <w:szCs w:val="24"/>
              </w:rPr>
            </w:pPr>
            <w:r w:rsidRPr="005B1111">
              <w:rPr>
                <w:rFonts w:ascii="Arial" w:eastAsia="Times New Roman" w:hAnsi="Arial" w:cs="Arial"/>
                <w:b/>
                <w:bCs/>
                <w:sz w:val="24"/>
                <w:szCs w:val="24"/>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Inconsolata" w:eastAsia="Times New Roman" w:hAnsi="Inconsolata" w:cs="Arial"/>
                <w:color w:val="000000"/>
              </w:rPr>
            </w:pPr>
            <w:r w:rsidRPr="005B1111">
              <w:rPr>
                <w:rFonts w:ascii="Inconsolata" w:eastAsia="Times New Roman" w:hAnsi="Inconsolata" w:cs="Arial"/>
                <w:color w:val="000000"/>
              </w:rPr>
              <w:t>5</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rPr>
            </w:pPr>
            <w:r w:rsidRPr="005B1111">
              <w:rPr>
                <w:rFonts w:ascii="Arial" w:eastAsia="Times New Roman" w:hAnsi="Arial" w:cs="Arial"/>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6.67%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3.0667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0.0667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Arial" w:eastAsia="Times New Roman" w:hAnsi="Arial" w:cs="Arial"/>
                <w:sz w:val="20"/>
                <w:szCs w:val="20"/>
              </w:rPr>
            </w:pPr>
            <w:r w:rsidRPr="005B1111">
              <w:rPr>
                <w:rFonts w:ascii="Arial" w:eastAsia="Times New Roman" w:hAnsi="Arial" w:cs="Arial"/>
                <w:sz w:val="20"/>
                <w:szCs w:val="20"/>
              </w:rPr>
              <w:t>FALSE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4"/>
                <w:szCs w:val="24"/>
              </w:rPr>
            </w:pPr>
            <w:r w:rsidRPr="005B1111">
              <w:rPr>
                <w:rFonts w:ascii="Arial" w:eastAsia="Times New Roman" w:hAnsi="Arial" w:cs="Arial"/>
                <w:b/>
                <w:bCs/>
                <w:sz w:val="24"/>
                <w:szCs w:val="24"/>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Inconsolata" w:eastAsia="Times New Roman" w:hAnsi="Inconsolata" w:cs="Arial"/>
                <w:color w:val="000000"/>
              </w:rPr>
            </w:pPr>
            <w:r w:rsidRPr="005B1111">
              <w:rPr>
                <w:rFonts w:ascii="Inconsolata" w:eastAsia="Times New Roman" w:hAnsi="Inconsolata" w:cs="Arial"/>
                <w:color w:val="000000"/>
              </w:rPr>
              <w:t>7</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rPr>
            </w:pPr>
            <w:r w:rsidRPr="005B1111">
              <w:rPr>
                <w:rFonts w:ascii="Arial" w:eastAsia="Times New Roman" w:hAnsi="Arial" w:cs="Arial"/>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0.6000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Arial" w:eastAsia="Times New Roman" w:hAnsi="Arial" w:cs="Arial"/>
                <w:sz w:val="20"/>
                <w:szCs w:val="20"/>
              </w:rPr>
            </w:pPr>
            <w:r w:rsidRPr="005B1111">
              <w:rPr>
                <w:rFonts w:ascii="Arial" w:eastAsia="Times New Roman" w:hAnsi="Arial" w:cs="Arial"/>
                <w:sz w:val="20"/>
                <w:szCs w:val="20"/>
              </w:rPr>
              <w:t>TRUE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4"/>
                <w:szCs w:val="24"/>
              </w:rPr>
            </w:pPr>
            <w:r w:rsidRPr="005B1111">
              <w:rPr>
                <w:rFonts w:ascii="Arial" w:eastAsia="Times New Roman" w:hAnsi="Arial" w:cs="Arial"/>
                <w:b/>
                <w:bCs/>
                <w:sz w:val="24"/>
                <w:szCs w:val="24"/>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Inconsolata" w:eastAsia="Times New Roman" w:hAnsi="Inconsolata" w:cs="Arial"/>
                <w:color w:val="000000"/>
              </w:rPr>
            </w:pPr>
            <w:r w:rsidRPr="005B1111">
              <w:rPr>
                <w:rFonts w:ascii="Inconsolata" w:eastAsia="Times New Roman" w:hAnsi="Inconsolata" w:cs="Arial"/>
                <w:color w:val="000000"/>
              </w:rPr>
              <w:t>10</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rPr>
            </w:pPr>
            <w:r w:rsidRPr="005B1111">
              <w:rPr>
                <w:rFonts w:ascii="Arial" w:eastAsia="Times New Roman" w:hAnsi="Arial" w:cs="Arial"/>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13.33%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6.1333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0.1333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Arial" w:eastAsia="Times New Roman" w:hAnsi="Arial" w:cs="Arial"/>
                <w:sz w:val="20"/>
                <w:szCs w:val="20"/>
              </w:rPr>
            </w:pPr>
            <w:r w:rsidRPr="005B1111">
              <w:rPr>
                <w:rFonts w:ascii="Arial" w:eastAsia="Times New Roman" w:hAnsi="Arial" w:cs="Arial"/>
                <w:sz w:val="20"/>
                <w:szCs w:val="20"/>
              </w:rPr>
              <w:t>FALSE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4"/>
                <w:szCs w:val="24"/>
              </w:rPr>
            </w:pPr>
            <w:r w:rsidRPr="005B1111">
              <w:rPr>
                <w:rFonts w:ascii="Arial" w:eastAsia="Times New Roman" w:hAnsi="Arial" w:cs="Arial"/>
                <w:b/>
                <w:bCs/>
                <w:sz w:val="24"/>
                <w:szCs w:val="24"/>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Inconsolata" w:eastAsia="Times New Roman" w:hAnsi="Inconsolata" w:cs="Arial"/>
                <w:color w:val="000000"/>
              </w:rPr>
            </w:pPr>
            <w:r w:rsidRPr="005B1111">
              <w:rPr>
                <w:rFonts w:ascii="Inconsolata" w:eastAsia="Times New Roman" w:hAnsi="Inconsolata" w:cs="Arial"/>
                <w:color w:val="000000"/>
              </w:rPr>
              <w:t>8</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rPr>
            </w:pPr>
            <w:r w:rsidRPr="005B1111">
              <w:rPr>
                <w:rFonts w:ascii="Arial" w:eastAsia="Times New Roman" w:hAnsi="Arial" w:cs="Arial"/>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11.11%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5.1111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0.1111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Arial" w:eastAsia="Times New Roman" w:hAnsi="Arial" w:cs="Arial"/>
                <w:sz w:val="20"/>
                <w:szCs w:val="20"/>
              </w:rPr>
            </w:pPr>
            <w:r w:rsidRPr="005B1111">
              <w:rPr>
                <w:rFonts w:ascii="Arial" w:eastAsia="Times New Roman" w:hAnsi="Arial" w:cs="Arial"/>
                <w:sz w:val="20"/>
                <w:szCs w:val="20"/>
              </w:rPr>
              <w:t>FALSE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0</w:t>
            </w: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4"/>
                <w:szCs w:val="24"/>
              </w:rPr>
            </w:pPr>
            <w:r w:rsidRPr="005B1111">
              <w:rPr>
                <w:rFonts w:ascii="Arial" w:eastAsia="Times New Roman" w:hAnsi="Arial" w:cs="Arial"/>
                <w:b/>
                <w:bCs/>
                <w:sz w:val="24"/>
                <w:szCs w:val="24"/>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Inconsolata" w:eastAsia="Times New Roman" w:hAnsi="Inconsolata" w:cs="Arial"/>
                <w:color w:val="000000"/>
              </w:rPr>
            </w:pPr>
            <w:r w:rsidRPr="005B1111">
              <w:rPr>
                <w:rFonts w:ascii="Inconsolata" w:eastAsia="Times New Roman" w:hAnsi="Inconsolata" w:cs="Arial"/>
                <w:color w:val="000000"/>
              </w:rPr>
              <w:t>9</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b/>
                <w:bCs/>
                <w:sz w:val="20"/>
                <w:szCs w:val="20"/>
              </w:rPr>
            </w:pPr>
            <w:r w:rsidRPr="005B1111">
              <w:rPr>
                <w:rFonts w:ascii="Arial" w:eastAsia="Times New Roman" w:hAnsi="Arial" w:cs="Arial"/>
                <w:b/>
                <w:bCs/>
                <w:sz w:val="20"/>
                <w:szCs w:val="20"/>
              </w:rPr>
              <w:t>Total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100.00%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46.0000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43.00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3.0000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670"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46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rsidR="005B1111" w:rsidRPr="005B1111" w:rsidRDefault="005B1111" w:rsidP="005B1111">
            <w:pPr>
              <w:spacing w:after="0" w:line="240" w:lineRule="auto"/>
              <w:jc w:val="center"/>
              <w:rPr>
                <w:rFonts w:ascii="Inconsolata" w:eastAsia="Times New Roman" w:hAnsi="Inconsolata" w:cs="Arial"/>
                <w:color w:val="000000"/>
              </w:rPr>
            </w:pPr>
            <w:r w:rsidRPr="005B1111">
              <w:rPr>
                <w:rFonts w:ascii="Inconsolata" w:eastAsia="Times New Roman" w:hAnsi="Inconsolata" w:cs="Arial"/>
                <w:color w:val="000000"/>
              </w:rPr>
              <w:t>FALSE</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b/>
                <w:bCs/>
                <w:sz w:val="20"/>
                <w:szCs w:val="20"/>
              </w:rPr>
            </w:pPr>
            <w:r w:rsidRPr="005B1111">
              <w:rPr>
                <w:rFonts w:ascii="Arial" w:eastAsia="Times New Roman" w:hAnsi="Arial" w:cs="Arial"/>
                <w:b/>
                <w:bCs/>
                <w:sz w:val="20"/>
                <w:szCs w:val="20"/>
              </w:rPr>
              <w:t>72</w:t>
            </w:r>
          </w:p>
        </w:tc>
      </w:tr>
      <w:tr w:rsidR="005B1111" w:rsidRPr="005B1111" w:rsidTr="005B111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jc w:val="right"/>
              <w:rPr>
                <w:rFonts w:ascii="Arial" w:eastAsia="Times New Roman" w:hAnsi="Arial" w:cs="Arial"/>
                <w:sz w:val="20"/>
                <w:szCs w:val="20"/>
              </w:rPr>
            </w:pPr>
            <w:r w:rsidRPr="005B1111">
              <w:rPr>
                <w:rFonts w:ascii="Arial" w:eastAsia="Times New Roman" w:hAnsi="Arial" w:cs="Arial"/>
                <w:sz w:val="20"/>
                <w:szCs w:val="20"/>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6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5B1111" w:rsidRPr="005B1111" w:rsidRDefault="005B1111" w:rsidP="005B1111">
            <w:pPr>
              <w:spacing w:after="0" w:line="240" w:lineRule="auto"/>
              <w:rPr>
                <w:rFonts w:ascii="Arial" w:eastAsia="Times New Roman" w:hAnsi="Arial" w:cs="Arial"/>
                <w:sz w:val="20"/>
                <w:szCs w:val="20"/>
              </w:rPr>
            </w:pPr>
          </w:p>
        </w:tc>
      </w:tr>
    </w:tbl>
    <w:p w:rsidR="005B1111" w:rsidRDefault="005B1111" w:rsidP="005B1111"/>
    <w:p w:rsidR="005B1111" w:rsidRDefault="005B1111" w:rsidP="005B1111"/>
    <w:p w:rsidR="005B1111" w:rsidRDefault="005B1111" w:rsidP="005B1111">
      <w:r>
        <w:t xml:space="preserve">There were 90 total teams counting towards bid allocation, down from 100 teams in 2014-2015. </w:t>
      </w:r>
    </w:p>
    <w:p w:rsidR="005B1111" w:rsidRDefault="005B1111" w:rsidP="005B1111"/>
    <w:p w:rsidR="005B1111" w:rsidRDefault="00695A9F" w:rsidP="00946D3C">
      <w:pPr>
        <w:pStyle w:val="Heading3"/>
      </w:pPr>
      <w:r>
        <w:lastRenderedPageBreak/>
        <w:t>Rulings</w:t>
      </w:r>
    </w:p>
    <w:p w:rsidR="00946D3C" w:rsidRDefault="00695A9F" w:rsidP="00695A9F">
      <w:r>
        <w:t xml:space="preserve">District 8 asked for guidance on determining if a team would continue to count towards bid allocation based on amount of participation at the district tournament. </w:t>
      </w:r>
      <w:r w:rsidR="00946D3C">
        <w:t xml:space="preserve">The team in question would have only been able to participate in 2 of 6 rounds due to a prior-known circumstance. </w:t>
      </w:r>
    </w:p>
    <w:p w:rsidR="00946D3C" w:rsidRDefault="00946D3C" w:rsidP="00695A9F">
      <w:r>
        <w:t xml:space="preserve">I ruled that a team should be reported as counting towards bid allocation under the following circumstances:  If the team is eligible to qualify to the NDT under known circumstances and intends to attempt to qualify to the NDT through the district-established processes that team will be considered to be one of the “actual number of debate teams competing for bids to the NDT.” This would exclude a team that debates knowing </w:t>
      </w:r>
      <w:r w:rsidR="00951F58">
        <w:t xml:space="preserve">prior to the tournament that </w:t>
      </w:r>
      <w:r>
        <w:t xml:space="preserve">they are or will be ineligible to receive a bid. It does not penalize a team for having to leave the tournament once it has begun due to illness or other unexpected complication. </w:t>
      </w:r>
      <w:r w:rsidR="00715347">
        <w:t xml:space="preserve">I think that if the team will be allowed by district rules at the end of the tournament to take one of the bid slots, the “team” is still competing. </w:t>
      </w:r>
      <w:r>
        <w:t xml:space="preserve">I used as a guiding principle the idea that a </w:t>
      </w:r>
      <w:r w:rsidR="00715347">
        <w:t xml:space="preserve">procedural </w:t>
      </w:r>
      <w:r>
        <w:t xml:space="preserve">decision in one district should not create known and predictable deleterious effects for other districts. </w:t>
      </w:r>
    </w:p>
    <w:p w:rsidR="00695A9F" w:rsidRDefault="00946D3C" w:rsidP="00695A9F">
      <w:r>
        <w:t xml:space="preserve">The chair(s) or committee of D8 ruled that both members of a team must compete in at least 50% of the rounds to earn a bid from the district. </w:t>
      </w:r>
    </w:p>
    <w:p w:rsidR="00951F58" w:rsidRDefault="00951F58" w:rsidP="00695A9F"/>
    <w:p w:rsidR="00946D3C" w:rsidRDefault="00946D3C" w:rsidP="00946D3C">
      <w:pPr>
        <w:pStyle w:val="Heading3"/>
      </w:pPr>
      <w:r>
        <w:lastRenderedPageBreak/>
        <w:t xml:space="preserve">New Business: </w:t>
      </w:r>
    </w:p>
    <w:p w:rsidR="00946D3C" w:rsidRDefault="00946D3C" w:rsidP="00946D3C">
      <w:pPr>
        <w:pStyle w:val="Heading4"/>
      </w:pPr>
      <w:r>
        <w:t>Mavericks at Districts</w:t>
      </w:r>
    </w:p>
    <w:p w:rsidR="00946D3C" w:rsidRDefault="0098244C" w:rsidP="00946D3C">
      <w:r>
        <w:br/>
        <w:t xml:space="preserve">During the District 8 discussion, </w:t>
      </w:r>
      <w:r w:rsidR="00946D3C">
        <w:t xml:space="preserve">I was </w:t>
      </w:r>
      <w:r>
        <w:t xml:space="preserve">trying to determine if I had grounds to rule on the participation of mavericks at districts. I was preparing to </w:t>
      </w:r>
      <w:r w:rsidR="00946D3C">
        <w:t xml:space="preserve">make the 50% or even 100% case using the NDT definition of a “team” as: “b. </w:t>
      </w:r>
      <w:proofErr w:type="gramStart"/>
      <w:r w:rsidR="00946D3C">
        <w:t>A</w:t>
      </w:r>
      <w:proofErr w:type="gramEnd"/>
      <w:r w:rsidR="00946D3C">
        <w:t xml:space="preserve"> team is composed of two eligible debaters from a single subscribing institution.” I think that it would be completely unreasonable to defer to a district that allows a maverick debater fulfill the requirement of a team for all the rounds. It would perhaps be overzealous to apply it at 100%</w:t>
      </w:r>
      <w:proofErr w:type="gramStart"/>
      <w:r w:rsidR="00946D3C">
        <w:t>,</w:t>
      </w:r>
      <w:proofErr w:type="gramEnd"/>
      <w:r w:rsidR="00946D3C">
        <w:t xml:space="preserve"> </w:t>
      </w:r>
      <w:r>
        <w:t xml:space="preserve">however, </w:t>
      </w:r>
      <w:r w:rsidR="00946D3C">
        <w:t xml:space="preserve">we do </w:t>
      </w:r>
      <w:r>
        <w:t xml:space="preserve">that </w:t>
      </w:r>
      <w:r w:rsidR="00946D3C">
        <w:t xml:space="preserve">at the NDT. It is common practice to not allow it for more than 2 rounds. I think that it is probably slightly lenient to allow it in 50%. I think that over 50% starts to challenge the common understanding of a team. I did not implement this ruling because </w:t>
      </w:r>
      <w:r>
        <w:t xml:space="preserve">it became a moot point once District 8 ruled that </w:t>
      </w:r>
      <w:r w:rsidR="00951F58">
        <w:t>teams must be complete for at least 50% of the rounds</w:t>
      </w:r>
      <w:proofErr w:type="gramStart"/>
      <w:r w:rsidR="00951F58">
        <w:t>.</w:t>
      </w:r>
      <w:r w:rsidR="00946D3C">
        <w:t>.</w:t>
      </w:r>
      <w:proofErr w:type="gramEnd"/>
      <w:r w:rsidR="00946D3C">
        <w:t xml:space="preserve"> If it had, it would have been a very difficult position given that the rules are not clear</w:t>
      </w:r>
      <w:r w:rsidR="00951F58">
        <w:t>,</w:t>
      </w:r>
      <w:r w:rsidR="00946D3C">
        <w:t xml:space="preserve"> and I had </w:t>
      </w:r>
      <w:proofErr w:type="gramStart"/>
      <w:r w:rsidR="00946D3C">
        <w:t>no guiding precedence nor</w:t>
      </w:r>
      <w:proofErr w:type="gramEnd"/>
      <w:r w:rsidR="00946D3C">
        <w:t xml:space="preserve"> a committee with whom I could discuss it.</w:t>
      </w:r>
    </w:p>
    <w:p w:rsidR="00946D3C" w:rsidRDefault="00946D3C" w:rsidP="00946D3C">
      <w:r>
        <w:t xml:space="preserve">I think that we should either make a rule or adopt a resolution that is controlling for district tournaments on this question, or we should require that each district create and submit their procedures for dealing with Mavericks in the future. </w:t>
      </w:r>
      <w:r w:rsidR="00951F58">
        <w:t xml:space="preserve">I think that it makes a lot of sense to have a rule at the qualification level that is different than the strict rule at the championship tournament. </w:t>
      </w:r>
    </w:p>
    <w:p w:rsidR="00951F58" w:rsidRDefault="00951F58" w:rsidP="00946D3C">
      <w:r>
        <w:t xml:space="preserve">It’s also important to note that while this question was raised to the bid-allocation committee, it might not be definitive on whether or not a team “participated in the district process.” If a district allows teams that do not count towards bid allocation to participate, as several do, just being ruled as not counting towards bid allocation is a distinct question from whether or not they would have qualified legitimately or participated in the district process. This could call into question the definition of </w:t>
      </w:r>
      <w:r w:rsidR="00715347">
        <w:t xml:space="preserve">the process as a pure tournament versus a hybrid system. </w:t>
      </w:r>
    </w:p>
    <w:p w:rsidR="00946D3C" w:rsidRDefault="0098244C" w:rsidP="0098244C">
      <w:pPr>
        <w:pStyle w:val="Heading4"/>
      </w:pPr>
      <w:r>
        <w:t>Tie-Breakers</w:t>
      </w:r>
    </w:p>
    <w:p w:rsidR="0098244C" w:rsidRDefault="0098244C" w:rsidP="0098244C">
      <w:r>
        <w:t xml:space="preserve">The circumstance occurred that there was a tie for the bids that exceeded 47 total district bids. </w:t>
      </w:r>
      <w:proofErr w:type="gramStart"/>
      <w:r>
        <w:t>The tie-breaker.</w:t>
      </w:r>
      <w:proofErr w:type="gramEnd"/>
      <w:r>
        <w:t xml:space="preserve"> There were 4 districts in a tie for the 45</w:t>
      </w:r>
      <w:r w:rsidRPr="0098244C">
        <w:rPr>
          <w:vertAlign w:val="superscript"/>
        </w:rPr>
        <w:t>th</w:t>
      </w:r>
      <w:r>
        <w:t xml:space="preserve"> and 46</w:t>
      </w:r>
      <w:r w:rsidRPr="0098244C">
        <w:rPr>
          <w:vertAlign w:val="superscript"/>
        </w:rPr>
        <w:t>th</w:t>
      </w:r>
      <w:r>
        <w:t xml:space="preserve"> district spots. The NDT standing rules allow for one team to be taken from the 2nd round pool to break the tie. However, in this case, we would need two teams from the 2nd round pool. The standing rules say to break the tie based on total subscriber numbers. </w:t>
      </w:r>
    </w:p>
    <w:p w:rsidR="00F27338" w:rsidRDefault="0098244C" w:rsidP="0098244C">
      <w:r>
        <w:t xml:space="preserve">This makes sense from some perspectives because any change down in numbers would always result in that district losing the bid before any other district due to the ratios created by the district being smallest. However, I think it is worth exploring whether this is a good warrant to use this as a tie-breaker. It definitively will impact smaller districts that are already struggling for participation numbers. </w:t>
      </w:r>
    </w:p>
    <w:p w:rsidR="0098244C" w:rsidRDefault="00F27338" w:rsidP="0098244C">
      <w:r>
        <w:t>I have submitted an amendment to change the rule.</w:t>
      </w:r>
      <w:bookmarkStart w:id="0" w:name="_GoBack"/>
      <w:bookmarkEnd w:id="0"/>
    </w:p>
    <w:p w:rsidR="00715347" w:rsidRDefault="00715347" w:rsidP="0098244C"/>
    <w:p w:rsidR="00715347" w:rsidRDefault="00715347" w:rsidP="0098244C"/>
    <w:p w:rsidR="00951F58" w:rsidRDefault="00951F58" w:rsidP="0098244C"/>
    <w:p w:rsidR="0098244C" w:rsidRPr="0098244C" w:rsidRDefault="0098244C" w:rsidP="0098244C"/>
    <w:p w:rsidR="0023148A" w:rsidRDefault="0023148A" w:rsidP="002C6544">
      <w:pPr>
        <w:jc w:val="center"/>
      </w:pPr>
    </w:p>
    <w:p w:rsidR="002C6544" w:rsidRPr="002C6544" w:rsidRDefault="002C6544" w:rsidP="002C6544"/>
    <w:sectPr w:rsidR="002C6544" w:rsidRPr="002C65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consolata">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nsid w:val="1CE706FE"/>
    <w:multiLevelType w:val="hybridMultilevel"/>
    <w:tmpl w:val="BC50C076"/>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11">
    <w:nsid w:val="1E4157F2"/>
    <w:multiLevelType w:val="hybridMultilevel"/>
    <w:tmpl w:val="450C2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C6340A"/>
    <w:multiLevelType w:val="hybridMultilevel"/>
    <w:tmpl w:val="3E98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2F4C1A"/>
    <w:multiLevelType w:val="hybridMultilevel"/>
    <w:tmpl w:val="B1A0D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475042"/>
    <w:multiLevelType w:val="hybridMultilevel"/>
    <w:tmpl w:val="87506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DD4F40"/>
    <w:multiLevelType w:val="hybridMultilevel"/>
    <w:tmpl w:val="0366A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F53B7C"/>
    <w:multiLevelType w:val="hybridMultilevel"/>
    <w:tmpl w:val="76D65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2"/>
  </w:num>
  <w:num w:numId="13">
    <w:abstractNumId w:val="11"/>
  </w:num>
  <w:num w:numId="14">
    <w:abstractNumId w:val="15"/>
  </w:num>
  <w:num w:numId="15">
    <w:abstractNumId w:val="10"/>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2"/>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eator" w:val="Adrienne Brovero"/>
    <w:docVar w:name="RibbonPointer" w:val="290220880"/>
    <w:docVar w:name="VerbatimVersion" w:val="5.1"/>
  </w:docVars>
  <w:rsids>
    <w:rsidRoot w:val="00C955F6"/>
    <w:rsid w:val="000139A3"/>
    <w:rsid w:val="000617C4"/>
    <w:rsid w:val="00087482"/>
    <w:rsid w:val="000C5F92"/>
    <w:rsid w:val="00100833"/>
    <w:rsid w:val="00104529"/>
    <w:rsid w:val="00105942"/>
    <w:rsid w:val="00107396"/>
    <w:rsid w:val="00144A4C"/>
    <w:rsid w:val="00157B80"/>
    <w:rsid w:val="00176AB0"/>
    <w:rsid w:val="00177B7D"/>
    <w:rsid w:val="0018322D"/>
    <w:rsid w:val="001B5776"/>
    <w:rsid w:val="001E527A"/>
    <w:rsid w:val="001F78CE"/>
    <w:rsid w:val="0023148A"/>
    <w:rsid w:val="00251FC7"/>
    <w:rsid w:val="00257B02"/>
    <w:rsid w:val="00264889"/>
    <w:rsid w:val="0028069E"/>
    <w:rsid w:val="002855A7"/>
    <w:rsid w:val="002B146A"/>
    <w:rsid w:val="002B5E17"/>
    <w:rsid w:val="002C2399"/>
    <w:rsid w:val="002C6544"/>
    <w:rsid w:val="00315690"/>
    <w:rsid w:val="00316B75"/>
    <w:rsid w:val="00325646"/>
    <w:rsid w:val="00334C78"/>
    <w:rsid w:val="00342B2B"/>
    <w:rsid w:val="003460F2"/>
    <w:rsid w:val="00370185"/>
    <w:rsid w:val="0038158C"/>
    <w:rsid w:val="003902BA"/>
    <w:rsid w:val="003A09E2"/>
    <w:rsid w:val="003C7703"/>
    <w:rsid w:val="00407037"/>
    <w:rsid w:val="00443EBA"/>
    <w:rsid w:val="004605D6"/>
    <w:rsid w:val="004C60E8"/>
    <w:rsid w:val="004E3579"/>
    <w:rsid w:val="004E728B"/>
    <w:rsid w:val="004F39E0"/>
    <w:rsid w:val="00537BD5"/>
    <w:rsid w:val="0057268A"/>
    <w:rsid w:val="005951A5"/>
    <w:rsid w:val="005A4FCD"/>
    <w:rsid w:val="005B1111"/>
    <w:rsid w:val="005B1883"/>
    <w:rsid w:val="005D2912"/>
    <w:rsid w:val="005D4991"/>
    <w:rsid w:val="006065BD"/>
    <w:rsid w:val="00645FA9"/>
    <w:rsid w:val="00647866"/>
    <w:rsid w:val="00665003"/>
    <w:rsid w:val="00695A9F"/>
    <w:rsid w:val="006A2AD0"/>
    <w:rsid w:val="006C2375"/>
    <w:rsid w:val="006D2D6B"/>
    <w:rsid w:val="006D4ECC"/>
    <w:rsid w:val="00715347"/>
    <w:rsid w:val="00722258"/>
    <w:rsid w:val="007243E5"/>
    <w:rsid w:val="00766EA0"/>
    <w:rsid w:val="007A2226"/>
    <w:rsid w:val="007B1903"/>
    <w:rsid w:val="007E23D2"/>
    <w:rsid w:val="007F5B66"/>
    <w:rsid w:val="00823A1C"/>
    <w:rsid w:val="00834258"/>
    <w:rsid w:val="00845B9D"/>
    <w:rsid w:val="00860984"/>
    <w:rsid w:val="00896BF3"/>
    <w:rsid w:val="008B397D"/>
    <w:rsid w:val="008B3ECB"/>
    <w:rsid w:val="008B4E85"/>
    <w:rsid w:val="008C1B2E"/>
    <w:rsid w:val="0091627E"/>
    <w:rsid w:val="00946D3C"/>
    <w:rsid w:val="00951F58"/>
    <w:rsid w:val="0097032B"/>
    <w:rsid w:val="0098095F"/>
    <w:rsid w:val="0098244C"/>
    <w:rsid w:val="009A7E8F"/>
    <w:rsid w:val="009D2EAD"/>
    <w:rsid w:val="009D54B2"/>
    <w:rsid w:val="009E12E3"/>
    <w:rsid w:val="009E1922"/>
    <w:rsid w:val="009F7ED2"/>
    <w:rsid w:val="00A133FA"/>
    <w:rsid w:val="00A669B8"/>
    <w:rsid w:val="00A93661"/>
    <w:rsid w:val="00A95652"/>
    <w:rsid w:val="00AA24CC"/>
    <w:rsid w:val="00AC0AB8"/>
    <w:rsid w:val="00B122D6"/>
    <w:rsid w:val="00B33C6D"/>
    <w:rsid w:val="00B4508F"/>
    <w:rsid w:val="00B55AD5"/>
    <w:rsid w:val="00B8057C"/>
    <w:rsid w:val="00BD6238"/>
    <w:rsid w:val="00BE34FF"/>
    <w:rsid w:val="00BF593B"/>
    <w:rsid w:val="00BF773A"/>
    <w:rsid w:val="00BF7E81"/>
    <w:rsid w:val="00C13773"/>
    <w:rsid w:val="00C17CC8"/>
    <w:rsid w:val="00C83417"/>
    <w:rsid w:val="00C955F6"/>
    <w:rsid w:val="00C9604F"/>
    <w:rsid w:val="00CA19AA"/>
    <w:rsid w:val="00CC5298"/>
    <w:rsid w:val="00CD736E"/>
    <w:rsid w:val="00CD798D"/>
    <w:rsid w:val="00CE161E"/>
    <w:rsid w:val="00CF59A8"/>
    <w:rsid w:val="00D325A9"/>
    <w:rsid w:val="00D36A8A"/>
    <w:rsid w:val="00D3734A"/>
    <w:rsid w:val="00D61409"/>
    <w:rsid w:val="00D6691E"/>
    <w:rsid w:val="00D71170"/>
    <w:rsid w:val="00D86A78"/>
    <w:rsid w:val="00DA1C92"/>
    <w:rsid w:val="00DA25D4"/>
    <w:rsid w:val="00DA6538"/>
    <w:rsid w:val="00E15E75"/>
    <w:rsid w:val="00E5262C"/>
    <w:rsid w:val="00E9430A"/>
    <w:rsid w:val="00EB267E"/>
    <w:rsid w:val="00EC7DC4"/>
    <w:rsid w:val="00ED30CF"/>
    <w:rsid w:val="00EE5F2A"/>
    <w:rsid w:val="00EE77D9"/>
    <w:rsid w:val="00F176EF"/>
    <w:rsid w:val="00F27338"/>
    <w:rsid w:val="00F45E10"/>
    <w:rsid w:val="00F6132C"/>
    <w:rsid w:val="00F6364A"/>
    <w:rsid w:val="00F8485B"/>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4" w:unhideWhenUsed="0" w:qFormat="1"/>
    <w:lsdException w:name="heading 1" w:semiHidden="0" w:uiPriority="0" w:unhideWhenUsed="0" w:qFormat="1"/>
    <w:lsdException w:name="heading 2" w:uiPriority="1" w:qFormat="1"/>
    <w:lsdException w:name="heading 3" w:uiPriority="2" w:qFormat="1"/>
    <w:lsdException w:name="heading 4" w:uiPriority="3"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semiHidden="0" w:uiPriority="7" w:unhideWhenUsed="0" w:qFormat="1"/>
    <w:lsdException w:name="Table Grid" w:semiHidden="0" w:uiPriority="39"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TOC Heading" w:qFormat="1"/>
  </w:latentStyles>
  <w:style w:type="paragraph" w:default="1" w:styleId="Normal">
    <w:name w:val="Normal"/>
    <w:aliases w:val="Normal/Card"/>
    <w:uiPriority w:val="4"/>
    <w:qFormat/>
    <w:rsid w:val="00F27338"/>
    <w:rPr>
      <w:rFonts w:ascii="Calibri" w:hAnsi="Calibri"/>
    </w:rPr>
  </w:style>
  <w:style w:type="paragraph" w:styleId="Heading1">
    <w:name w:val="heading 1"/>
    <w:aliases w:val="Pocket"/>
    <w:basedOn w:val="Normal"/>
    <w:next w:val="Normal"/>
    <w:link w:val="Heading1Char"/>
    <w:qFormat/>
    <w:rsid w:val="00F2733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F2733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F2733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F27338"/>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F2733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27338"/>
  </w:style>
  <w:style w:type="character" w:customStyle="1" w:styleId="Heading1Char">
    <w:name w:val="Heading 1 Char"/>
    <w:aliases w:val="Pocket Char"/>
    <w:basedOn w:val="DefaultParagraphFont"/>
    <w:link w:val="Heading1"/>
    <w:rsid w:val="00F27338"/>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F27338"/>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F27338"/>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F27338"/>
    <w:rPr>
      <w:rFonts w:ascii="Calibri" w:eastAsiaTheme="majorEastAsia" w:hAnsi="Calibri" w:cstheme="majorBidi"/>
      <w:b/>
      <w:iCs/>
      <w:sz w:val="26"/>
    </w:rPr>
  </w:style>
  <w:style w:type="character" w:styleId="Emphasis">
    <w:name w:val="Emphasis"/>
    <w:basedOn w:val="DefaultParagraphFont"/>
    <w:uiPriority w:val="7"/>
    <w:qFormat/>
    <w:rsid w:val="00F27338"/>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F27338"/>
    <w:rPr>
      <w:b/>
      <w:bCs/>
      <w:sz w:val="26"/>
      <w:u w:val="none"/>
    </w:rPr>
  </w:style>
  <w:style w:type="character" w:customStyle="1" w:styleId="StyleUnderline">
    <w:name w:val="Style Underline"/>
    <w:aliases w:val="Underline"/>
    <w:basedOn w:val="DefaultParagraphFont"/>
    <w:uiPriority w:val="6"/>
    <w:qFormat/>
    <w:rsid w:val="00F27338"/>
    <w:rPr>
      <w:b w:val="0"/>
      <w:sz w:val="22"/>
      <w:u w:val="single"/>
    </w:rPr>
  </w:style>
  <w:style w:type="character" w:styleId="Hyperlink">
    <w:name w:val="Hyperlink"/>
    <w:basedOn w:val="DefaultParagraphFont"/>
    <w:uiPriority w:val="99"/>
    <w:semiHidden/>
    <w:unhideWhenUsed/>
    <w:rsid w:val="00F27338"/>
    <w:rPr>
      <w:color w:val="auto"/>
      <w:u w:val="none"/>
    </w:rPr>
  </w:style>
  <w:style w:type="character" w:styleId="FollowedHyperlink">
    <w:name w:val="FollowedHyperlink"/>
    <w:basedOn w:val="DefaultParagraphFont"/>
    <w:uiPriority w:val="99"/>
    <w:semiHidden/>
    <w:unhideWhenUsed/>
    <w:rsid w:val="00F27338"/>
    <w:rPr>
      <w:color w:val="auto"/>
      <w:u w:val="none"/>
    </w:rPr>
  </w:style>
  <w:style w:type="paragraph" w:styleId="ListParagraph">
    <w:name w:val="List Paragraph"/>
    <w:basedOn w:val="Normal"/>
    <w:uiPriority w:val="99"/>
    <w:unhideWhenUsed/>
    <w:qFormat/>
    <w:rsid w:val="00061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4" w:unhideWhenUsed="0" w:qFormat="1"/>
    <w:lsdException w:name="heading 1" w:semiHidden="0" w:uiPriority="0" w:unhideWhenUsed="0" w:qFormat="1"/>
    <w:lsdException w:name="heading 2" w:uiPriority="1" w:qFormat="1"/>
    <w:lsdException w:name="heading 3" w:uiPriority="2" w:qFormat="1"/>
    <w:lsdException w:name="heading 4" w:uiPriority="3"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semiHidden="0" w:uiPriority="7" w:unhideWhenUsed="0" w:qFormat="1"/>
    <w:lsdException w:name="Table Grid" w:semiHidden="0" w:uiPriority="39"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TOC Heading" w:qFormat="1"/>
  </w:latentStyles>
  <w:style w:type="paragraph" w:default="1" w:styleId="Normal">
    <w:name w:val="Normal"/>
    <w:aliases w:val="Normal/Card"/>
    <w:uiPriority w:val="4"/>
    <w:qFormat/>
    <w:rsid w:val="00F27338"/>
    <w:rPr>
      <w:rFonts w:ascii="Calibri" w:hAnsi="Calibri"/>
    </w:rPr>
  </w:style>
  <w:style w:type="paragraph" w:styleId="Heading1">
    <w:name w:val="heading 1"/>
    <w:aliases w:val="Pocket"/>
    <w:basedOn w:val="Normal"/>
    <w:next w:val="Normal"/>
    <w:link w:val="Heading1Char"/>
    <w:qFormat/>
    <w:rsid w:val="00F2733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F2733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F2733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F27338"/>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F2733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27338"/>
  </w:style>
  <w:style w:type="character" w:customStyle="1" w:styleId="Heading1Char">
    <w:name w:val="Heading 1 Char"/>
    <w:aliases w:val="Pocket Char"/>
    <w:basedOn w:val="DefaultParagraphFont"/>
    <w:link w:val="Heading1"/>
    <w:rsid w:val="00F27338"/>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F27338"/>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F27338"/>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F27338"/>
    <w:rPr>
      <w:rFonts w:ascii="Calibri" w:eastAsiaTheme="majorEastAsia" w:hAnsi="Calibri" w:cstheme="majorBidi"/>
      <w:b/>
      <w:iCs/>
      <w:sz w:val="26"/>
    </w:rPr>
  </w:style>
  <w:style w:type="character" w:styleId="Emphasis">
    <w:name w:val="Emphasis"/>
    <w:basedOn w:val="DefaultParagraphFont"/>
    <w:uiPriority w:val="7"/>
    <w:qFormat/>
    <w:rsid w:val="00F27338"/>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F27338"/>
    <w:rPr>
      <w:b/>
      <w:bCs/>
      <w:sz w:val="26"/>
      <w:u w:val="none"/>
    </w:rPr>
  </w:style>
  <w:style w:type="character" w:customStyle="1" w:styleId="StyleUnderline">
    <w:name w:val="Style Underline"/>
    <w:aliases w:val="Underline"/>
    <w:basedOn w:val="DefaultParagraphFont"/>
    <w:uiPriority w:val="6"/>
    <w:qFormat/>
    <w:rsid w:val="00F27338"/>
    <w:rPr>
      <w:b w:val="0"/>
      <w:sz w:val="22"/>
      <w:u w:val="single"/>
    </w:rPr>
  </w:style>
  <w:style w:type="character" w:styleId="Hyperlink">
    <w:name w:val="Hyperlink"/>
    <w:basedOn w:val="DefaultParagraphFont"/>
    <w:uiPriority w:val="99"/>
    <w:semiHidden/>
    <w:unhideWhenUsed/>
    <w:rsid w:val="00F27338"/>
    <w:rPr>
      <w:color w:val="auto"/>
      <w:u w:val="none"/>
    </w:rPr>
  </w:style>
  <w:style w:type="character" w:styleId="FollowedHyperlink">
    <w:name w:val="FollowedHyperlink"/>
    <w:basedOn w:val="DefaultParagraphFont"/>
    <w:uiPriority w:val="99"/>
    <w:semiHidden/>
    <w:unhideWhenUsed/>
    <w:rsid w:val="00F27338"/>
    <w:rPr>
      <w:color w:val="auto"/>
      <w:u w:val="none"/>
    </w:rPr>
  </w:style>
  <w:style w:type="paragraph" w:styleId="ListParagraph">
    <w:name w:val="List Paragraph"/>
    <w:basedOn w:val="Normal"/>
    <w:uiPriority w:val="99"/>
    <w:unhideWhenUsed/>
    <w:qFormat/>
    <w:rsid w:val="00061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968209">
      <w:bodyDiv w:val="1"/>
      <w:marLeft w:val="0"/>
      <w:marRight w:val="0"/>
      <w:marTop w:val="0"/>
      <w:marBottom w:val="0"/>
      <w:divBdr>
        <w:top w:val="none" w:sz="0" w:space="0" w:color="auto"/>
        <w:left w:val="none" w:sz="0" w:space="0" w:color="auto"/>
        <w:bottom w:val="none" w:sz="0" w:space="0" w:color="auto"/>
        <w:right w:val="none" w:sz="0" w:space="0" w:color="auto"/>
      </w:divBdr>
    </w:div>
    <w:div w:id="202181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eg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2FB5C-4559-4A46-B1B8-CE52DC2AD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68</TotalTime>
  <Pages>5</Pages>
  <Words>765</Words>
  <Characters>4365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Brovero</dc:creator>
  <cp:keywords>5.1.1</cp:keywords>
  <cp:lastModifiedBy>Vega</cp:lastModifiedBy>
  <cp:revision>4</cp:revision>
  <dcterms:created xsi:type="dcterms:W3CDTF">2016-03-28T19:18:00Z</dcterms:created>
  <dcterms:modified xsi:type="dcterms:W3CDTF">2016-03-28T20:46:00Z</dcterms:modified>
</cp:coreProperties>
</file>