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b/>
          <w:bCs/>
          <w:color w:val="000000"/>
        </w:rPr>
        <w:t>Current language:</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 xml:space="preserve">c. Second Round </w:t>
      </w:r>
      <w:proofErr w:type="gramStart"/>
      <w:r w:rsidRPr="00CB2B98">
        <w:rPr>
          <w:rFonts w:ascii="Arial" w:eastAsia="Times New Roman" w:hAnsi="Arial" w:cs="Arial"/>
          <w:color w:val="000000"/>
        </w:rPr>
        <w:t>At-</w:t>
      </w:r>
      <w:proofErr w:type="gramEnd"/>
      <w:r w:rsidRPr="00CB2B98">
        <w:rPr>
          <w:rFonts w:ascii="Arial" w:eastAsia="Times New Roman" w:hAnsi="Arial" w:cs="Arial"/>
          <w:color w:val="000000"/>
        </w:rPr>
        <w:t>Large process.</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(1) Any teams not selected for participation in the NDT through the First Round At-Large or district processes may apply for a Second Round At-Large bid.</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(3) Teams submitting Second Round At-Large applications may include a paragraph of explanation concerning extenuating circumstances.</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(4) Unless a school has received two bids in the First Round At-Large process, participation in the district process shall be a prerequisite for receipt of a Second Round At-Large selection.</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(6) The next two lower teams that do not qualify for Second Round At-Large bids will be designated as first and second alternate.</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w:t>
      </w:r>
      <w:proofErr w:type="gramStart"/>
      <w:r w:rsidRPr="00CB2B98">
        <w:rPr>
          <w:rFonts w:ascii="Arial" w:eastAsia="Times New Roman" w:hAnsi="Arial" w:cs="Arial"/>
          <w:color w:val="000000"/>
        </w:rPr>
        <w:t>teams,</w:t>
      </w:r>
      <w:proofErr w:type="gramEnd"/>
      <w:r w:rsidRPr="00CB2B98">
        <w:rPr>
          <w:rFonts w:ascii="Arial" w:eastAsia="Times New Roman" w:hAnsi="Arial" w:cs="Arial"/>
          <w:color w:val="000000"/>
        </w:rPr>
        <w:t xml:space="preserve"> the tournament director will make arrangements to assure an even number of teams.</w:t>
      </w: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CB2B98" w:rsidRPr="00CB2B98" w:rsidRDefault="00CB2B98" w:rsidP="00CB2B98">
      <w:pPr>
        <w:spacing w:after="240" w:line="240" w:lineRule="auto"/>
        <w:rPr>
          <w:rFonts w:ascii="Times New Roman" w:eastAsia="Times New Roman" w:hAnsi="Times New Roman" w:cs="Times New Roman"/>
          <w:sz w:val="24"/>
          <w:szCs w:val="24"/>
        </w:rPr>
      </w:pPr>
    </w:p>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b/>
          <w:bCs/>
          <w:color w:val="000000"/>
        </w:rPr>
        <w:t>Amendment:</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before="100" w:after="100" w:line="240" w:lineRule="auto"/>
        <w:rPr>
          <w:rFonts w:ascii="Times New Roman" w:eastAsia="Times New Roman" w:hAnsi="Times New Roman" w:cs="Times New Roman"/>
          <w:sz w:val="24"/>
          <w:szCs w:val="24"/>
        </w:rPr>
      </w:pPr>
      <w:r w:rsidRPr="00CB2B98">
        <w:rPr>
          <w:rFonts w:ascii="Arial" w:eastAsia="Times New Roman" w:hAnsi="Arial" w:cs="Arial"/>
          <w:color w:val="000000"/>
        </w:rPr>
        <w:t xml:space="preserve">(5)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All teams from a school that have not received a First Round At-Large bid shall be placed in the Second Round At-Large ranking pool. A school shall not be allowed to qualify a third team through the Second Round At-Large process unless all three teams from the school either receive a First Round At-Large bid or rank in qualification-eligible position in the final rankings. </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b/>
          <w:bCs/>
          <w:color w:val="000000"/>
        </w:rPr>
        <w:t>Justification:</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color w:val="000000"/>
        </w:rPr>
        <w:t>The third team rule is intended to improve the quality of the field by including up to 6 third teams into the pool. The most notable benefits are increasing the quality of competition at the tournament, making the tournament seem more like a validation and culmination of a season of success and excellence, and the benefits of a fair and open process of qualification that teams have strived for all year.</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color w:val="000000"/>
        </w:rPr>
        <w:t xml:space="preserve">The current rules have a loophole that undermines these goals. It allows first or second teams from a school to fall into the 3rd team pool if </w:t>
      </w:r>
      <w:proofErr w:type="gramStart"/>
      <w:r w:rsidRPr="00CB2B98">
        <w:rPr>
          <w:rFonts w:ascii="Arial" w:eastAsia="Times New Roman" w:hAnsi="Arial" w:cs="Arial"/>
          <w:color w:val="000000"/>
        </w:rPr>
        <w:t>the other two team</w:t>
      </w:r>
      <w:proofErr w:type="gramEnd"/>
      <w:r w:rsidRPr="00CB2B98">
        <w:rPr>
          <w:rFonts w:ascii="Arial" w:eastAsia="Times New Roman" w:hAnsi="Arial" w:cs="Arial"/>
          <w:color w:val="000000"/>
        </w:rPr>
        <w:t xml:space="preserve"> qualify ahead of them through their district process. The explanations for requiring district pre-rankings or participation strongly implies that the spirit of the rule is to mitigate the risk that a team, through malfeasance or chance, would qualify their third team ahead of their first or second team. The fact that we have not acted on this loophole before now should not suggest that it is an intended outcome of the </w:t>
      </w:r>
      <w:proofErr w:type="spellStart"/>
      <w:r w:rsidRPr="00CB2B98">
        <w:rPr>
          <w:rFonts w:ascii="Arial" w:eastAsia="Times New Roman" w:hAnsi="Arial" w:cs="Arial"/>
          <w:color w:val="000000"/>
        </w:rPr>
        <w:t>rule.The</w:t>
      </w:r>
      <w:proofErr w:type="spellEnd"/>
      <w:r w:rsidRPr="00CB2B98">
        <w:rPr>
          <w:rFonts w:ascii="Arial" w:eastAsia="Times New Roman" w:hAnsi="Arial" w:cs="Arial"/>
          <w:color w:val="000000"/>
        </w:rPr>
        <w:t xml:space="preserve"> loophole exists. It certainly allows and rewards bad faith, but also rewards luck (good/bad). Rules that rely on good faith and/or luck are not really rules, and they foster poor trust between peers. The result of knowing there is a loophole should be to mitigate its effect or close the loophole.</w:t>
      </w:r>
    </w:p>
    <w:p w:rsidR="00CB2B98" w:rsidRPr="00CB2B98" w:rsidRDefault="00CB2B98" w:rsidP="00CB2B98">
      <w:pPr>
        <w:spacing w:after="0" w:line="240" w:lineRule="auto"/>
        <w:rPr>
          <w:rFonts w:ascii="Times New Roman" w:eastAsia="Times New Roman" w:hAnsi="Times New Roman" w:cs="Times New Roman"/>
          <w:sz w:val="24"/>
          <w:szCs w:val="24"/>
        </w:rPr>
      </w:pPr>
    </w:p>
    <w:p w:rsidR="00CB2B98" w:rsidRPr="00CB2B98" w:rsidRDefault="00CB2B98" w:rsidP="00CB2B98">
      <w:pPr>
        <w:spacing w:after="0" w:line="240" w:lineRule="auto"/>
        <w:rPr>
          <w:rFonts w:ascii="Times New Roman" w:eastAsia="Times New Roman" w:hAnsi="Times New Roman" w:cs="Times New Roman"/>
          <w:sz w:val="24"/>
          <w:szCs w:val="24"/>
        </w:rPr>
      </w:pPr>
      <w:r w:rsidRPr="00CB2B98">
        <w:rPr>
          <w:rFonts w:ascii="Arial" w:eastAsia="Times New Roman" w:hAnsi="Arial" w:cs="Arial"/>
          <w:color w:val="000000"/>
        </w:rPr>
        <w:t xml:space="preserve">This loophole exists for districts that do not limit entries to the number of eligible teams. There are very good reasons for districts to limit the entry at the district tournament to the number of teams that can qualify through the process--in fact most districts do limit in this way. There are some benefits of opening the qualification tournaments to teams beyond eligible or numeric boundaries, but those benefits should not include a tradeoff with other districts. This amendment would allow districts the choice of keeping their tournaments in the form that best suits their region, but it takes away the impact of that choice on the other districts. </w:t>
      </w:r>
    </w:p>
    <w:p w:rsidR="00AE7595" w:rsidRDefault="00CB2B98" w:rsidP="00CB2B98">
      <w:r w:rsidRPr="00CB2B98">
        <w:rPr>
          <w:rFonts w:ascii="Times New Roman" w:eastAsia="Times New Roman" w:hAnsi="Times New Roman" w:cs="Times New Roman"/>
          <w:sz w:val="24"/>
          <w:szCs w:val="24"/>
        </w:rPr>
        <w:br/>
      </w:r>
      <w:r w:rsidRPr="00CB2B98">
        <w:rPr>
          <w:rFonts w:ascii="Arial" w:eastAsia="Times New Roman" w:hAnsi="Arial" w:cs="Arial"/>
          <w:color w:val="000000"/>
        </w:rPr>
        <w:t xml:space="preserve">The option of leaving this rule in place would be, I think, a terrible idea. It results in mistrust as people either </w:t>
      </w:r>
      <w:proofErr w:type="gramStart"/>
      <w:r w:rsidRPr="00CB2B98">
        <w:rPr>
          <w:rFonts w:ascii="Arial" w:eastAsia="Times New Roman" w:hAnsi="Arial" w:cs="Arial"/>
          <w:color w:val="000000"/>
        </w:rPr>
        <w:t>attempt</w:t>
      </w:r>
      <w:proofErr w:type="gramEnd"/>
      <w:r w:rsidRPr="00CB2B98">
        <w:rPr>
          <w:rFonts w:ascii="Arial" w:eastAsia="Times New Roman" w:hAnsi="Arial" w:cs="Arial"/>
          <w:color w:val="000000"/>
        </w:rPr>
        <w:t xml:space="preserve"> to game the rule or are perceived to have done so. Even if actors are perceived as having acted in good faith, the loophole generates ill-will. Having rules that appear arbitrary or open to subversion should be remedied.</w:t>
      </w:r>
      <w:bookmarkStart w:id="0" w:name="_GoBack"/>
      <w:bookmarkEnd w:id="0"/>
    </w:p>
    <w:sectPr w:rsidR="00AE75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B98"/>
    <w:rsid w:val="00AE7595"/>
    <w:rsid w:val="00CB2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B9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B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79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Vega</dc:creator>
  <cp:lastModifiedBy>Vega</cp:lastModifiedBy>
  <cp:revision>1</cp:revision>
  <dcterms:created xsi:type="dcterms:W3CDTF">2016-03-23T16:05:00Z</dcterms:created>
  <dcterms:modified xsi:type="dcterms:W3CDTF">2016-03-23T16:05:00Z</dcterms:modified>
</cp:coreProperties>
</file>