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E6FB4" w14:textId="77777777" w:rsidR="002E200B" w:rsidRPr="002E200B" w:rsidRDefault="002E200B" w:rsidP="002E200B">
      <w:pPr>
        <w:shd w:val="clear" w:color="auto" w:fill="FFFFFF"/>
        <w:spacing w:after="100" w:line="240" w:lineRule="auto"/>
        <w:rPr>
          <w:rFonts w:ascii="Arial" w:eastAsia="Times New Roman" w:hAnsi="Arial" w:cs="Arial"/>
          <w:color w:val="222222"/>
          <w:sz w:val="24"/>
          <w:szCs w:val="24"/>
        </w:rPr>
      </w:pPr>
      <w:r w:rsidRPr="002E200B">
        <w:rPr>
          <w:rFonts w:ascii="Arial" w:eastAsia="Times New Roman" w:hAnsi="Arial" w:cs="Arial"/>
          <w:color w:val="222222"/>
          <w:sz w:val="24"/>
          <w:szCs w:val="24"/>
        </w:rPr>
        <w:t xml:space="preserve">The proposed language change is to clarify what a preliminary round is for the purposes of the second-round application process. This would officially eliminate round robins or other closed-invitation tournaments from counting for or against preliminary win percentage. This clarification would remove a possible disincentive for attending tournaments like round robins that might be beneficial, unique and challenging to students. If a team is close to the 50% line or a new partnership, the fear that the existing rule might be interpreted in a way that might disqualify them from second round eligibility could deter them from recognizing those benefits. As an example, a new partnership that attended a round robin and went 1-5 and a major national and went 5-3 would be eligible for the </w:t>
      </w:r>
      <w:proofErr w:type="gramStart"/>
      <w:r w:rsidRPr="002E200B">
        <w:rPr>
          <w:rFonts w:ascii="Arial" w:eastAsia="Times New Roman" w:hAnsi="Arial" w:cs="Arial"/>
          <w:color w:val="222222"/>
          <w:sz w:val="24"/>
          <w:szCs w:val="24"/>
        </w:rPr>
        <w:t>second round</w:t>
      </w:r>
      <w:proofErr w:type="gramEnd"/>
      <w:r w:rsidRPr="002E200B">
        <w:rPr>
          <w:rFonts w:ascii="Arial" w:eastAsia="Times New Roman" w:hAnsi="Arial" w:cs="Arial"/>
          <w:color w:val="222222"/>
          <w:sz w:val="24"/>
          <w:szCs w:val="24"/>
        </w:rPr>
        <w:t xml:space="preserve"> process.</w:t>
      </w:r>
    </w:p>
    <w:p w14:paraId="2B70549D" w14:textId="77777777" w:rsidR="002E200B" w:rsidRPr="002E200B" w:rsidRDefault="002E200B" w:rsidP="002E200B">
      <w:pPr>
        <w:shd w:val="clear" w:color="auto" w:fill="FFFFFF"/>
        <w:spacing w:after="100" w:line="240" w:lineRule="auto"/>
        <w:rPr>
          <w:rFonts w:ascii="Arial" w:eastAsia="Times New Roman" w:hAnsi="Arial" w:cs="Arial"/>
          <w:color w:val="222222"/>
          <w:sz w:val="24"/>
          <w:szCs w:val="24"/>
        </w:rPr>
      </w:pPr>
      <w:r w:rsidRPr="002E200B">
        <w:rPr>
          <w:rFonts w:ascii="Arial" w:eastAsia="Times New Roman" w:hAnsi="Arial" w:cs="Arial"/>
          <w:color w:val="222222"/>
          <w:sz w:val="24"/>
          <w:szCs w:val="24"/>
        </w:rPr>
        <w:t xml:space="preserve">This would not change the rule for other portions of the standing rules about preliminary rounds, as those rules already stipulate conditions and encourage other beneficial behaviors. For example, the rule on number of preliminary rounds to count towards bid allocation might be better interpreted to allow round robins to count, as it shows that the debaters were active debaters during the year, and there are already constraints that ensure that there are </w:t>
      </w:r>
      <w:proofErr w:type="gramStart"/>
      <w:r w:rsidRPr="002E200B">
        <w:rPr>
          <w:rFonts w:ascii="Arial" w:eastAsia="Times New Roman" w:hAnsi="Arial" w:cs="Arial"/>
          <w:color w:val="222222"/>
          <w:sz w:val="24"/>
          <w:szCs w:val="24"/>
        </w:rPr>
        <w:t>sufficient</w:t>
      </w:r>
      <w:proofErr w:type="gramEnd"/>
      <w:r w:rsidRPr="002E200B">
        <w:rPr>
          <w:rFonts w:ascii="Arial" w:eastAsia="Times New Roman" w:hAnsi="Arial" w:cs="Arial"/>
          <w:color w:val="222222"/>
          <w:sz w:val="24"/>
          <w:szCs w:val="24"/>
        </w:rPr>
        <w:t xml:space="preserve"> teams, rounds and schools in attendance.</w:t>
      </w:r>
    </w:p>
    <w:p w14:paraId="0F6AC735" w14:textId="77777777" w:rsidR="002E200B" w:rsidRPr="002E200B" w:rsidRDefault="002E200B" w:rsidP="002E200B">
      <w:pPr>
        <w:shd w:val="clear" w:color="auto" w:fill="FFFFFF"/>
        <w:spacing w:after="100" w:line="240" w:lineRule="auto"/>
        <w:rPr>
          <w:rFonts w:ascii="Arial" w:eastAsia="Times New Roman" w:hAnsi="Arial" w:cs="Arial"/>
          <w:color w:val="222222"/>
          <w:sz w:val="24"/>
          <w:szCs w:val="24"/>
        </w:rPr>
      </w:pPr>
      <w:r w:rsidRPr="002E200B">
        <w:rPr>
          <w:rFonts w:ascii="Arial" w:eastAsia="Times New Roman" w:hAnsi="Arial" w:cs="Arial"/>
          <w:color w:val="222222"/>
          <w:sz w:val="24"/>
          <w:szCs w:val="24"/>
        </w:rPr>
        <w:t>The proposed language change should not be taken as a normative stance on the current rule being interpreted the opposite way, but instead as a clarification to ensure that it does not need to go through the appeals process in the future.</w:t>
      </w:r>
    </w:p>
    <w:p w14:paraId="0E68EA43" w14:textId="77777777" w:rsidR="002E200B" w:rsidRPr="002E200B" w:rsidRDefault="002E200B" w:rsidP="002E200B">
      <w:pPr>
        <w:shd w:val="clear" w:color="auto" w:fill="FFFFFF"/>
        <w:spacing w:after="100" w:line="240" w:lineRule="auto"/>
        <w:rPr>
          <w:rFonts w:ascii="Arial" w:eastAsia="Times New Roman" w:hAnsi="Arial" w:cs="Arial"/>
          <w:color w:val="222222"/>
          <w:sz w:val="24"/>
          <w:szCs w:val="24"/>
        </w:rPr>
      </w:pPr>
      <w:r w:rsidRPr="002E200B">
        <w:rPr>
          <w:rFonts w:ascii="Arial" w:eastAsia="Times New Roman" w:hAnsi="Arial" w:cs="Arial"/>
          <w:b/>
          <w:bCs/>
          <w:color w:val="222222"/>
          <w:sz w:val="24"/>
          <w:szCs w:val="24"/>
        </w:rPr>
        <w:t>Current Rule:</w:t>
      </w:r>
    </w:p>
    <w:p w14:paraId="69EFD40B" w14:textId="77777777" w:rsidR="002E200B" w:rsidRPr="002E200B" w:rsidRDefault="002E200B" w:rsidP="002E200B">
      <w:pPr>
        <w:shd w:val="clear" w:color="auto" w:fill="FFFFFF"/>
        <w:spacing w:after="100" w:line="240" w:lineRule="auto"/>
        <w:ind w:left="1440"/>
        <w:rPr>
          <w:rFonts w:ascii="Arial" w:eastAsia="Times New Roman" w:hAnsi="Arial" w:cs="Arial"/>
          <w:color w:val="222222"/>
          <w:sz w:val="24"/>
          <w:szCs w:val="24"/>
        </w:rPr>
      </w:pPr>
      <w:r w:rsidRPr="002E200B">
        <w:rPr>
          <w:rFonts w:ascii="Arial" w:eastAsia="Times New Roman" w:hAnsi="Arial" w:cs="Arial"/>
          <w:color w:val="222222"/>
          <w:sz w:val="24"/>
          <w:szCs w:val="24"/>
        </w:rPr>
        <w:t>c. Second Round At-Large process.</w:t>
      </w:r>
    </w:p>
    <w:p w14:paraId="30A6A3AE"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(1) Any teams not selected for participation in the NDT through the First Round At-Large or district processes may apply for a Second Round At-Large bid.</w:t>
      </w:r>
    </w:p>
    <w:p w14:paraId="03E22374"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14:paraId="1576D96F" w14:textId="77777777" w:rsidR="002E200B" w:rsidRPr="002E200B" w:rsidRDefault="002E200B" w:rsidP="002E200B">
      <w:pPr>
        <w:shd w:val="clear" w:color="auto" w:fill="FFFFFF"/>
        <w:spacing w:after="0" w:line="240" w:lineRule="auto"/>
        <w:rPr>
          <w:rFonts w:ascii="Arial" w:eastAsia="Times New Roman" w:hAnsi="Arial" w:cs="Arial"/>
          <w:color w:val="222222"/>
          <w:sz w:val="24"/>
          <w:szCs w:val="24"/>
        </w:rPr>
      </w:pPr>
      <w:r w:rsidRPr="002E200B">
        <w:rPr>
          <w:rFonts w:ascii="Arial" w:eastAsia="Times New Roman" w:hAnsi="Arial" w:cs="Arial"/>
          <w:b/>
          <w:bCs/>
          <w:color w:val="222222"/>
          <w:sz w:val="24"/>
          <w:szCs w:val="24"/>
        </w:rPr>
        <w:t>Proposed Language:</w:t>
      </w:r>
    </w:p>
    <w:p w14:paraId="0B8024F6" w14:textId="77777777" w:rsidR="002E200B" w:rsidRPr="002E200B" w:rsidRDefault="002E200B" w:rsidP="002E200B">
      <w:pPr>
        <w:shd w:val="clear" w:color="auto" w:fill="FFFFFF"/>
        <w:spacing w:after="100" w:line="240" w:lineRule="auto"/>
        <w:ind w:left="1440"/>
        <w:rPr>
          <w:rFonts w:ascii="Arial" w:eastAsia="Times New Roman" w:hAnsi="Arial" w:cs="Arial"/>
          <w:color w:val="222222"/>
          <w:sz w:val="24"/>
          <w:szCs w:val="24"/>
        </w:rPr>
      </w:pPr>
      <w:r w:rsidRPr="002E200B">
        <w:rPr>
          <w:rFonts w:ascii="Arial" w:eastAsia="Times New Roman" w:hAnsi="Arial" w:cs="Arial"/>
          <w:color w:val="222222"/>
          <w:sz w:val="24"/>
          <w:szCs w:val="24"/>
        </w:rPr>
        <w:t>c. Second Round At-Large process.</w:t>
      </w:r>
    </w:p>
    <w:p w14:paraId="4E16963B"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(1) Any teams not selected for participation in the NDT through the First Round At-Large or district processes may apply for a Second Round At-Large bid.</w:t>
      </w:r>
    </w:p>
    <w:p w14:paraId="538E3D5C"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12D4C9CB" w14:textId="77777777" w:rsidR="002E200B" w:rsidRPr="002E200B" w:rsidRDefault="002E200B" w:rsidP="002E200B">
      <w:pPr>
        <w:shd w:val="clear" w:color="auto" w:fill="FFFFFF"/>
        <w:spacing w:after="100" w:line="240" w:lineRule="auto"/>
        <w:rPr>
          <w:rFonts w:ascii="Arial" w:eastAsia="Times New Roman" w:hAnsi="Arial" w:cs="Arial"/>
          <w:color w:val="222222"/>
          <w:sz w:val="24"/>
          <w:szCs w:val="24"/>
        </w:rPr>
      </w:pPr>
      <w:r w:rsidRPr="002E200B">
        <w:rPr>
          <w:rFonts w:ascii="Arial" w:eastAsia="Times New Roman" w:hAnsi="Arial" w:cs="Arial"/>
          <w:b/>
          <w:bCs/>
          <w:color w:val="222222"/>
          <w:sz w:val="24"/>
          <w:szCs w:val="24"/>
        </w:rPr>
        <w:t>Alternate Proposed Language:</w:t>
      </w:r>
    </w:p>
    <w:p w14:paraId="084E1C48" w14:textId="77777777" w:rsidR="002E200B" w:rsidRPr="002E200B" w:rsidRDefault="002E200B" w:rsidP="002E200B">
      <w:pPr>
        <w:shd w:val="clear" w:color="auto" w:fill="FFFFFF"/>
        <w:spacing w:after="100" w:line="240" w:lineRule="auto"/>
        <w:ind w:left="1440"/>
        <w:rPr>
          <w:rFonts w:ascii="Arial" w:eastAsia="Times New Roman" w:hAnsi="Arial" w:cs="Arial"/>
          <w:color w:val="222222"/>
          <w:sz w:val="24"/>
          <w:szCs w:val="24"/>
        </w:rPr>
      </w:pPr>
      <w:r w:rsidRPr="002E200B">
        <w:rPr>
          <w:rFonts w:ascii="Arial" w:eastAsia="Times New Roman" w:hAnsi="Arial" w:cs="Arial"/>
          <w:color w:val="222222"/>
          <w:sz w:val="24"/>
          <w:szCs w:val="24"/>
        </w:rPr>
        <w:t>c. Second Round At-Large process.</w:t>
      </w:r>
    </w:p>
    <w:p w14:paraId="379FBE17"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(1) Any teams not selected for participation in the NDT through the First Round At-Large or district processes may apply for a Second Round At-Large bid.</w:t>
      </w:r>
    </w:p>
    <w:p w14:paraId="064C3A39" w14:textId="77777777" w:rsidR="002E200B" w:rsidRPr="002E200B" w:rsidRDefault="002E200B" w:rsidP="002E200B">
      <w:pPr>
        <w:shd w:val="clear" w:color="auto" w:fill="FFFFFF"/>
        <w:spacing w:after="100" w:line="240" w:lineRule="auto"/>
        <w:ind w:left="2160"/>
        <w:rPr>
          <w:rFonts w:ascii="Arial" w:eastAsia="Times New Roman" w:hAnsi="Arial" w:cs="Arial"/>
          <w:color w:val="222222"/>
          <w:sz w:val="24"/>
          <w:szCs w:val="24"/>
        </w:rPr>
      </w:pPr>
      <w:r w:rsidRPr="002E200B">
        <w:rPr>
          <w:rFonts w:ascii="Arial" w:eastAsia="Times New Roman" w:hAnsi="Arial" w:cs="Arial"/>
          <w:color w:val="222222"/>
          <w:sz w:val="24"/>
          <w:szCs w:val="24"/>
        </w:rP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For the purposes of this rule, a “preliminary round” is limited to open-invitation tournaments and NDT district-qualification tournaments. The team's record for every tournament attended prior to submission must be reported on the application form.</w:t>
      </w:r>
    </w:p>
    <w:p w14:paraId="35624339" w14:textId="77777777" w:rsidR="002E200B" w:rsidRPr="002E200B" w:rsidRDefault="002E200B" w:rsidP="002E200B">
      <w:pPr>
        <w:shd w:val="clear" w:color="auto" w:fill="FFFFFF"/>
        <w:spacing w:after="0" w:line="240" w:lineRule="auto"/>
        <w:rPr>
          <w:rFonts w:ascii="Arial" w:eastAsia="Times New Roman" w:hAnsi="Arial" w:cs="Arial"/>
          <w:color w:val="222222"/>
          <w:sz w:val="24"/>
          <w:szCs w:val="24"/>
        </w:rPr>
      </w:pPr>
      <w:r w:rsidRPr="002E200B">
        <w:rPr>
          <w:rFonts w:ascii="Arial" w:eastAsia="Times New Roman" w:hAnsi="Arial" w:cs="Arial"/>
          <w:color w:val="222222"/>
          <w:sz w:val="24"/>
          <w:szCs w:val="24"/>
        </w:rPr>
        <w:t> </w:t>
      </w:r>
    </w:p>
    <w:p w14:paraId="73AD54CA" w14:textId="77777777" w:rsidR="00A95652" w:rsidRPr="00B55AD5" w:rsidRDefault="00A95652" w:rsidP="00B55AD5">
      <w:bookmarkStart w:id="0" w:name="_GoBack"/>
      <w:bookmarkEnd w:id="0"/>
    </w:p>
    <w:sectPr w:rsidR="00A95652" w:rsidRPr="00B55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150407768"/>
    <w:docVar w:name="VerbatimVersion" w:val="5.1"/>
  </w:docVars>
  <w:rsids>
    <w:rsidRoot w:val="002E200B"/>
    <w:rsid w:val="000139A3"/>
    <w:rsid w:val="00100833"/>
    <w:rsid w:val="00104529"/>
    <w:rsid w:val="00105942"/>
    <w:rsid w:val="00107396"/>
    <w:rsid w:val="00144A4C"/>
    <w:rsid w:val="00176AB0"/>
    <w:rsid w:val="00177B7D"/>
    <w:rsid w:val="0018322D"/>
    <w:rsid w:val="001B5776"/>
    <w:rsid w:val="001E527A"/>
    <w:rsid w:val="001F78CE"/>
    <w:rsid w:val="00251FC7"/>
    <w:rsid w:val="0028433C"/>
    <w:rsid w:val="002855A7"/>
    <w:rsid w:val="002B146A"/>
    <w:rsid w:val="002B5E17"/>
    <w:rsid w:val="002E200B"/>
    <w:rsid w:val="00315690"/>
    <w:rsid w:val="00316B75"/>
    <w:rsid w:val="00325646"/>
    <w:rsid w:val="003460F2"/>
    <w:rsid w:val="0038158C"/>
    <w:rsid w:val="003902BA"/>
    <w:rsid w:val="003A09E2"/>
    <w:rsid w:val="00407037"/>
    <w:rsid w:val="004605D6"/>
    <w:rsid w:val="004C60E8"/>
    <w:rsid w:val="004E3579"/>
    <w:rsid w:val="004E728B"/>
    <w:rsid w:val="004F39E0"/>
    <w:rsid w:val="00537BD5"/>
    <w:rsid w:val="0057268A"/>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C0AB8"/>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5262C"/>
    <w:rsid w:val="00EC7DC4"/>
    <w:rsid w:val="00ED30CF"/>
    <w:rsid w:val="00F176EF"/>
    <w:rsid w:val="00F211A1"/>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F934"/>
  <w15:chartTrackingRefBased/>
  <w15:docId w15:val="{A527361F-2890-47E8-B653-E2BE7245F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4"/>
    <w:qFormat/>
    <w:rsid w:val="002E200B"/>
    <w:rPr>
      <w:rFonts w:ascii="Times New Roman" w:hAnsi="Times New Roman" w:cs="Times New Roman"/>
    </w:rPr>
  </w:style>
  <w:style w:type="paragraph" w:styleId="Heading1">
    <w:name w:val="heading 1"/>
    <w:aliases w:val="Pocket"/>
    <w:basedOn w:val="Normal"/>
    <w:next w:val="Normal"/>
    <w:link w:val="Heading1Char"/>
    <w:qFormat/>
    <w:rsid w:val="002E200B"/>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2E200B"/>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2E200B"/>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2E200B"/>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2E200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E200B"/>
  </w:style>
  <w:style w:type="character" w:customStyle="1" w:styleId="Heading1Char">
    <w:name w:val="Heading 1 Char"/>
    <w:aliases w:val="Pocket Char"/>
    <w:basedOn w:val="DefaultParagraphFont"/>
    <w:link w:val="Heading1"/>
    <w:rsid w:val="002E200B"/>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2E200B"/>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2E200B"/>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2E200B"/>
    <w:rPr>
      <w:rFonts w:ascii="Times New Roman" w:eastAsiaTheme="majorEastAsia" w:hAnsi="Times New Roman" w:cstheme="majorBidi"/>
      <w:b/>
      <w:iCs/>
      <w:sz w:val="26"/>
    </w:rPr>
  </w:style>
  <w:style w:type="character" w:styleId="Emphasis">
    <w:name w:val="Emphasis"/>
    <w:basedOn w:val="DefaultParagraphFont"/>
    <w:uiPriority w:val="7"/>
    <w:qFormat/>
    <w:rsid w:val="002E200B"/>
    <w:rPr>
      <w:rFonts w:ascii="Times New Roman" w:hAnsi="Times New Roman" w:cs="Times New Roman"/>
      <w:b/>
      <w:i w:val="0"/>
      <w:iCs/>
      <w:sz w:val="22"/>
      <w:u w:val="single"/>
      <w:bdr w:val="single" w:sz="8" w:space="0" w:color="auto"/>
    </w:rPr>
  </w:style>
  <w:style w:type="character" w:customStyle="1" w:styleId="Style13ptBold">
    <w:name w:val="Style 13 pt Bold"/>
    <w:aliases w:val="Cite"/>
    <w:basedOn w:val="DefaultParagraphFont"/>
    <w:uiPriority w:val="5"/>
    <w:qFormat/>
    <w:rsid w:val="002E200B"/>
    <w:rPr>
      <w:b/>
      <w:bCs/>
      <w:sz w:val="26"/>
      <w:u w:val="none"/>
    </w:rPr>
  </w:style>
  <w:style w:type="character" w:customStyle="1" w:styleId="StyleUnderline">
    <w:name w:val="Style Underline"/>
    <w:aliases w:val="Underline"/>
    <w:basedOn w:val="DefaultParagraphFont"/>
    <w:uiPriority w:val="6"/>
    <w:qFormat/>
    <w:rsid w:val="002E200B"/>
    <w:rPr>
      <w:b/>
      <w:sz w:val="22"/>
      <w:u w:val="single"/>
    </w:rPr>
  </w:style>
  <w:style w:type="character" w:styleId="Hyperlink">
    <w:name w:val="Hyperlink"/>
    <w:basedOn w:val="DefaultParagraphFont"/>
    <w:uiPriority w:val="99"/>
    <w:semiHidden/>
    <w:unhideWhenUsed/>
    <w:rsid w:val="002E200B"/>
    <w:rPr>
      <w:color w:val="auto"/>
      <w:u w:val="none"/>
    </w:rPr>
  </w:style>
  <w:style w:type="character" w:styleId="FollowedHyperlink">
    <w:name w:val="FollowedHyperlink"/>
    <w:basedOn w:val="DefaultParagraphFont"/>
    <w:uiPriority w:val="99"/>
    <w:semiHidden/>
    <w:unhideWhenUsed/>
    <w:rsid w:val="002E200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91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C7072-67F2-45B0-A7F0-C4FED4E05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542</Words>
  <Characters>3092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1</cp:revision>
  <dcterms:created xsi:type="dcterms:W3CDTF">2019-03-17T12:16:00Z</dcterms:created>
  <dcterms:modified xsi:type="dcterms:W3CDTF">2019-03-17T12:16:00Z</dcterms:modified>
</cp:coreProperties>
</file>